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21FA6">
      <w:pPr>
        <w:pageBreakBefore w:val="0"/>
        <w:kinsoku/>
        <w:wordWrap/>
        <w:overflowPunct/>
        <w:topLinePunct w:val="0"/>
        <w:bidi w:val="0"/>
        <w:spacing w:line="264" w:lineRule="auto"/>
        <w:rPr>
          <w:rFonts w:ascii="Arial"/>
          <w:color w:val="auto"/>
          <w:sz w:val="21"/>
          <w:highlight w:val="none"/>
        </w:rPr>
      </w:pPr>
    </w:p>
    <w:p w14:paraId="10F72D21">
      <w:pPr>
        <w:pageBreakBefore w:val="0"/>
        <w:kinsoku/>
        <w:wordWrap/>
        <w:overflowPunct/>
        <w:topLinePunct w:val="0"/>
        <w:bidi w:val="0"/>
        <w:spacing w:line="264" w:lineRule="auto"/>
        <w:rPr>
          <w:rFonts w:ascii="Arial"/>
          <w:color w:val="auto"/>
          <w:sz w:val="21"/>
          <w:highlight w:val="none"/>
        </w:rPr>
      </w:pPr>
    </w:p>
    <w:p w14:paraId="71E8268A">
      <w:pPr>
        <w:pageBreakBefore w:val="0"/>
        <w:kinsoku/>
        <w:wordWrap/>
        <w:overflowPunct/>
        <w:topLinePunct w:val="0"/>
        <w:bidi w:val="0"/>
        <w:spacing w:line="264" w:lineRule="auto"/>
        <w:rPr>
          <w:rFonts w:ascii="Arial"/>
          <w:color w:val="auto"/>
          <w:sz w:val="21"/>
          <w:highlight w:val="none"/>
        </w:rPr>
      </w:pPr>
    </w:p>
    <w:p w14:paraId="1EDC641E">
      <w:pPr>
        <w:pageBreakBefore w:val="0"/>
        <w:kinsoku/>
        <w:wordWrap/>
        <w:overflowPunct/>
        <w:topLinePunct w:val="0"/>
        <w:bidi w:val="0"/>
        <w:spacing w:line="264" w:lineRule="auto"/>
        <w:rPr>
          <w:rFonts w:ascii="Arial"/>
          <w:color w:val="auto"/>
          <w:sz w:val="21"/>
          <w:highlight w:val="none"/>
        </w:rPr>
      </w:pPr>
    </w:p>
    <w:p w14:paraId="694691D2">
      <w:pPr>
        <w:pageBreakBefore w:val="0"/>
        <w:kinsoku/>
        <w:wordWrap/>
        <w:overflowPunct/>
        <w:topLinePunct w:val="0"/>
        <w:bidi w:val="0"/>
        <w:spacing w:line="264" w:lineRule="auto"/>
        <w:rPr>
          <w:rFonts w:ascii="Arial"/>
          <w:color w:val="auto"/>
          <w:sz w:val="21"/>
          <w:highlight w:val="none"/>
        </w:rPr>
      </w:pPr>
    </w:p>
    <w:p w14:paraId="307A1246">
      <w:pPr>
        <w:pageBreakBefore w:val="0"/>
        <w:kinsoku/>
        <w:wordWrap/>
        <w:overflowPunct/>
        <w:topLinePunct w:val="0"/>
        <w:bidi w:val="0"/>
        <w:spacing w:line="264" w:lineRule="auto"/>
        <w:rPr>
          <w:rFonts w:ascii="Arial"/>
          <w:color w:val="auto"/>
          <w:sz w:val="21"/>
          <w:highlight w:val="none"/>
        </w:rPr>
      </w:pPr>
    </w:p>
    <w:p w14:paraId="0E296A22">
      <w:pPr>
        <w:pageBreakBefore w:val="0"/>
        <w:kinsoku/>
        <w:wordWrap/>
        <w:overflowPunct/>
        <w:topLinePunct w:val="0"/>
        <w:bidi w:val="0"/>
        <w:spacing w:line="264" w:lineRule="auto"/>
        <w:rPr>
          <w:rFonts w:ascii="Arial"/>
          <w:color w:val="auto"/>
          <w:sz w:val="21"/>
          <w:highlight w:val="none"/>
        </w:rPr>
      </w:pPr>
    </w:p>
    <w:p w14:paraId="497FCCB9">
      <w:pPr>
        <w:pageBreakBefore w:val="0"/>
        <w:kinsoku/>
        <w:wordWrap/>
        <w:overflowPunct/>
        <w:topLinePunct w:val="0"/>
        <w:bidi w:val="0"/>
        <w:spacing w:line="265" w:lineRule="auto"/>
        <w:rPr>
          <w:rFonts w:ascii="Arial"/>
          <w:color w:val="auto"/>
          <w:sz w:val="21"/>
          <w:highlight w:val="none"/>
        </w:rPr>
      </w:pPr>
    </w:p>
    <w:p w14:paraId="2955EEB6">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7C0821AE">
      <w:pPr>
        <w:pageBreakBefore w:val="0"/>
        <w:kinsoku/>
        <w:wordWrap/>
        <w:overflowPunct/>
        <w:topLinePunct w:val="0"/>
        <w:bidi w:val="0"/>
        <w:spacing w:line="248" w:lineRule="auto"/>
        <w:rPr>
          <w:rFonts w:hint="eastAsia" w:ascii="宋体" w:hAnsi="宋体" w:eastAsia="宋体" w:cs="宋体"/>
          <w:color w:val="auto"/>
          <w:sz w:val="21"/>
          <w:highlight w:val="none"/>
        </w:rPr>
      </w:pPr>
    </w:p>
    <w:p w14:paraId="54278A55">
      <w:pPr>
        <w:pageBreakBefore w:val="0"/>
        <w:kinsoku/>
        <w:wordWrap/>
        <w:overflowPunct/>
        <w:topLinePunct w:val="0"/>
        <w:bidi w:val="0"/>
        <w:spacing w:line="248" w:lineRule="auto"/>
        <w:rPr>
          <w:rFonts w:hint="eastAsia" w:ascii="宋体" w:hAnsi="宋体" w:eastAsia="宋体" w:cs="宋体"/>
          <w:color w:val="auto"/>
          <w:sz w:val="21"/>
          <w:highlight w:val="none"/>
        </w:rPr>
      </w:pPr>
    </w:p>
    <w:p w14:paraId="6C1790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C983866">
      <w:pPr>
        <w:pageBreakBefore w:val="0"/>
        <w:kinsoku/>
        <w:wordWrap/>
        <w:overflowPunct/>
        <w:topLinePunct w:val="0"/>
        <w:bidi w:val="0"/>
        <w:spacing w:line="248" w:lineRule="auto"/>
        <w:rPr>
          <w:rFonts w:hint="eastAsia" w:ascii="宋体" w:hAnsi="宋体" w:eastAsia="宋体" w:cs="宋体"/>
          <w:color w:val="auto"/>
          <w:sz w:val="21"/>
          <w:highlight w:val="none"/>
        </w:rPr>
      </w:pPr>
    </w:p>
    <w:p w14:paraId="15A9A51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83E6A2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60671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B054871">
      <w:pPr>
        <w:pageBreakBefore w:val="0"/>
        <w:kinsoku/>
        <w:wordWrap/>
        <w:overflowPunct/>
        <w:topLinePunct w:val="0"/>
        <w:bidi w:val="0"/>
        <w:spacing w:line="249" w:lineRule="auto"/>
        <w:rPr>
          <w:rFonts w:hint="eastAsia" w:ascii="宋体" w:hAnsi="宋体" w:eastAsia="宋体" w:cs="宋体"/>
          <w:color w:val="auto"/>
          <w:sz w:val="21"/>
          <w:highlight w:val="none"/>
        </w:rPr>
      </w:pPr>
    </w:p>
    <w:p w14:paraId="567C8274">
      <w:pPr>
        <w:pageBreakBefore w:val="0"/>
        <w:kinsoku/>
        <w:wordWrap/>
        <w:overflowPunct/>
        <w:topLinePunct w:val="0"/>
        <w:bidi w:val="0"/>
        <w:spacing w:line="249" w:lineRule="auto"/>
        <w:rPr>
          <w:rFonts w:hint="eastAsia" w:ascii="宋体" w:hAnsi="宋体" w:eastAsia="宋体" w:cs="宋体"/>
          <w:color w:val="auto"/>
          <w:sz w:val="21"/>
          <w:highlight w:val="none"/>
        </w:rPr>
      </w:pPr>
    </w:p>
    <w:p w14:paraId="4831EA5C">
      <w:pPr>
        <w:pageBreakBefore w:val="0"/>
        <w:kinsoku/>
        <w:wordWrap/>
        <w:overflowPunct/>
        <w:topLinePunct w:val="0"/>
        <w:bidi w:val="0"/>
        <w:spacing w:line="249" w:lineRule="auto"/>
        <w:rPr>
          <w:rFonts w:hint="eastAsia" w:ascii="宋体" w:hAnsi="宋体" w:eastAsia="宋体" w:cs="宋体"/>
          <w:color w:val="auto"/>
          <w:sz w:val="21"/>
          <w:highlight w:val="none"/>
        </w:rPr>
      </w:pPr>
    </w:p>
    <w:p w14:paraId="7277A4FB">
      <w:pPr>
        <w:pageBreakBefore w:val="0"/>
        <w:kinsoku/>
        <w:wordWrap/>
        <w:overflowPunct/>
        <w:topLinePunct w:val="0"/>
        <w:bidi w:val="0"/>
        <w:spacing w:line="249" w:lineRule="auto"/>
        <w:rPr>
          <w:rFonts w:hint="eastAsia" w:ascii="宋体" w:hAnsi="宋体" w:eastAsia="宋体" w:cs="宋体"/>
          <w:color w:val="auto"/>
          <w:sz w:val="21"/>
          <w:highlight w:val="none"/>
        </w:rPr>
      </w:pPr>
    </w:p>
    <w:p w14:paraId="0824DF62">
      <w:pPr>
        <w:pageBreakBefore w:val="0"/>
        <w:kinsoku/>
        <w:wordWrap/>
        <w:overflowPunct/>
        <w:topLinePunct w:val="0"/>
        <w:bidi w:val="0"/>
        <w:spacing w:line="249" w:lineRule="auto"/>
        <w:rPr>
          <w:rFonts w:hint="eastAsia" w:ascii="宋体" w:hAnsi="宋体" w:eastAsia="宋体" w:cs="宋体"/>
          <w:color w:val="auto"/>
          <w:sz w:val="21"/>
          <w:highlight w:val="none"/>
        </w:rPr>
      </w:pPr>
    </w:p>
    <w:p w14:paraId="4F2CE707">
      <w:pPr>
        <w:pageBreakBefore w:val="0"/>
        <w:kinsoku/>
        <w:wordWrap/>
        <w:overflowPunct/>
        <w:topLinePunct w:val="0"/>
        <w:bidi w:val="0"/>
        <w:spacing w:line="249" w:lineRule="auto"/>
        <w:rPr>
          <w:rFonts w:hint="eastAsia" w:ascii="宋体" w:hAnsi="宋体" w:eastAsia="宋体" w:cs="宋体"/>
          <w:color w:val="auto"/>
          <w:sz w:val="21"/>
          <w:highlight w:val="none"/>
        </w:rPr>
      </w:pPr>
    </w:p>
    <w:p w14:paraId="265C166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F5D7121">
      <w:pPr>
        <w:pageBreakBefore w:val="0"/>
        <w:kinsoku/>
        <w:wordWrap/>
        <w:overflowPunct/>
        <w:topLinePunct w:val="0"/>
        <w:bidi w:val="0"/>
        <w:spacing w:line="249" w:lineRule="auto"/>
        <w:rPr>
          <w:rFonts w:hint="eastAsia" w:ascii="宋体" w:hAnsi="宋体" w:eastAsia="宋体" w:cs="宋体"/>
          <w:color w:val="auto"/>
          <w:sz w:val="21"/>
          <w:highlight w:val="none"/>
        </w:rPr>
      </w:pPr>
    </w:p>
    <w:p w14:paraId="21E2B1BE">
      <w:pPr>
        <w:pageBreakBefore w:val="0"/>
        <w:kinsoku/>
        <w:wordWrap/>
        <w:overflowPunct/>
        <w:topLinePunct w:val="0"/>
        <w:bidi w:val="0"/>
        <w:spacing w:line="249" w:lineRule="auto"/>
        <w:rPr>
          <w:rFonts w:hint="eastAsia" w:ascii="宋体" w:hAnsi="宋体" w:eastAsia="宋体" w:cs="宋体"/>
          <w:color w:val="auto"/>
          <w:sz w:val="21"/>
          <w:highlight w:val="none"/>
        </w:rPr>
      </w:pPr>
    </w:p>
    <w:p w14:paraId="655D1F23">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中国人民警察大学（广州）10号楼一楼</w:t>
      </w:r>
    </w:p>
    <w:p w14:paraId="5FCA10EB">
      <w:pPr>
        <w:pStyle w:val="5"/>
        <w:pageBreakBefore w:val="0"/>
        <w:kinsoku/>
        <w:wordWrap/>
        <w:overflowPunct/>
        <w:topLinePunct w:val="0"/>
        <w:bidi w:val="0"/>
        <w:spacing w:before="113" w:line="373" w:lineRule="auto"/>
        <w:ind w:leftChars="600" w:firstLine="1435" w:firstLineChars="5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u w:val="single"/>
          <w:lang w:eastAsia="zh-CN"/>
        </w:rPr>
        <w:t>计算机专修室升级改造项目-工程部分</w:t>
      </w:r>
    </w:p>
    <w:p w14:paraId="047A640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GZGCCG-2026054</w:t>
      </w:r>
    </w:p>
    <w:p w14:paraId="7B502ECD">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3F18578A">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179D17DE">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5CF0601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D7031E9">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0434FE0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BB9597B">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475072A0">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32F6716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783E30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50</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5A0E9A0">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76EF7379">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6DF6B31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1B4B623A">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00C28FB8">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96BC086">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GZGCCG-2026054</w:t>
      </w:r>
    </w:p>
    <w:p w14:paraId="55EEBCD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中国人民警察大学（广州）10号楼一楼计算机专修室升级改造项目-工程部分</w:t>
      </w:r>
      <w:r>
        <w:rPr>
          <w:rFonts w:hint="eastAsia" w:ascii="宋体" w:hAnsi="宋体" w:eastAsia="宋体" w:cs="宋体"/>
          <w:color w:val="auto"/>
          <w:spacing w:val="-12"/>
          <w:sz w:val="21"/>
          <w:szCs w:val="21"/>
          <w:highlight w:val="none"/>
        </w:rPr>
        <w:t xml:space="preserve"> </w:t>
      </w:r>
    </w:p>
    <w:p w14:paraId="65551C2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4CAA4835">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：人民币</w:t>
      </w:r>
      <w:r>
        <w:rPr>
          <w:rFonts w:hint="eastAsia" w:ascii="宋体" w:hAnsi="宋体" w:eastAsia="宋体" w:cs="宋体"/>
          <w:color w:val="auto"/>
          <w:spacing w:val="0"/>
          <w:sz w:val="21"/>
          <w:szCs w:val="21"/>
          <w:highlight w:val="none"/>
          <w:lang w:eastAsia="zh-CN"/>
        </w:rPr>
        <w:t>62.887902万元</w:t>
      </w:r>
      <w:r>
        <w:rPr>
          <w:rFonts w:hint="eastAsia" w:ascii="宋体" w:hAnsi="宋体" w:eastAsia="宋体" w:cs="宋体"/>
          <w:color w:val="auto"/>
          <w:spacing w:val="0"/>
          <w:sz w:val="21"/>
          <w:szCs w:val="21"/>
          <w:highlight w:val="none"/>
        </w:rPr>
        <w:t>。</w:t>
      </w:r>
      <w:bookmarkStart w:id="20" w:name="_GoBack"/>
      <w:bookmarkEnd w:id="20"/>
    </w:p>
    <w:p w14:paraId="70E24EAC">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00FE3B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w:t>
      </w:r>
      <w:r>
        <w:rPr>
          <w:rFonts w:hint="eastAsia" w:ascii="宋体" w:hAnsi="宋体" w:eastAsia="宋体" w:cs="宋体"/>
          <w:color w:val="auto"/>
          <w:spacing w:val="-12"/>
          <w:sz w:val="21"/>
          <w:szCs w:val="21"/>
          <w:highlight w:val="none"/>
          <w:lang w:eastAsia="zh-CN"/>
        </w:rPr>
        <w:t>合同签订后，接到甲方书面开工通知后 45个日历天内完工。</w:t>
      </w:r>
    </w:p>
    <w:p w14:paraId="071DC8DC">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1A195CB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410BA92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12D0D3EC">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，采购标的对应的中小企业划分标准所属行业：建筑业。</w:t>
      </w:r>
    </w:p>
    <w:p w14:paraId="68CECEAC">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104F09B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4F533F3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2D144A2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7D2F229">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093B9A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4BA50C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06C26436">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9DD8E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29B84B8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11、供应商应具有有效期内的建筑装修装饰工程专业承包二级(或以上)资质</w:t>
      </w:r>
      <w:r>
        <w:rPr>
          <w:rFonts w:hint="eastAsia" w:ascii="宋体" w:hAnsi="宋体" w:eastAsia="宋体" w:cs="宋体"/>
          <w:color w:val="auto"/>
          <w:kern w:val="0"/>
          <w:sz w:val="21"/>
          <w:szCs w:val="21"/>
          <w:highlight w:val="none"/>
          <w:shd w:val="clear" w:fill="FFFFFF"/>
          <w:lang w:val="en-US" w:eastAsia="zh-CN" w:bidi="ar"/>
        </w:rPr>
        <w:t>（提供证书扫描件作为证明材料）。</w:t>
      </w:r>
    </w:p>
    <w:p w14:paraId="37BCD9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12、供应商必须具有建设行政主管部门颁发有效的《安全生产许可证》（提供证书扫描件作为证明材料）。</w:t>
      </w:r>
    </w:p>
    <w:p w14:paraId="100EED86">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76A232CF">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14、本项目不允许分包或转包。</w:t>
      </w:r>
    </w:p>
    <w:p w14:paraId="73B16971">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15、本项目不接受联合体响应。（提供声明函，格式自拟）</w:t>
      </w:r>
    </w:p>
    <w:p w14:paraId="199D187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46EAE36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7 </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24</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8 </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2 </w:t>
      </w:r>
      <w:r>
        <w:rPr>
          <w:rFonts w:hint="eastAsia" w:ascii="宋体" w:hAnsi="宋体" w:eastAsia="宋体" w:cs="宋体"/>
          <w:color w:val="auto"/>
          <w:spacing w:val="-12"/>
          <w:sz w:val="21"/>
          <w:szCs w:val="21"/>
          <w:highlight w:val="none"/>
        </w:rPr>
        <w:t>日止，上午 09:00 至 12:00 ，下午 14:00 至 17:00 。</w:t>
      </w:r>
    </w:p>
    <w:p w14:paraId="111E56C1">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1091E60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56E1A66F">
      <w:pPr>
        <w:pStyle w:val="5"/>
        <w:pageBreakBefore w:val="0"/>
        <w:kinsoku/>
        <w:wordWrap/>
        <w:overflowPunct/>
        <w:topLinePunct w:val="0"/>
        <w:bidi w:val="0"/>
        <w:spacing w:before="55" w:line="360" w:lineRule="auto"/>
        <w:ind w:left="0" w:righ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响应人</w:t>
      </w:r>
      <w:r>
        <w:rPr>
          <w:rFonts w:hint="eastAsia" w:ascii="宋体" w:hAnsi="宋体" w:eastAsia="宋体" w:cs="宋体"/>
          <w:color w:val="auto"/>
          <w:spacing w:val="-12"/>
          <w:sz w:val="21"/>
          <w:szCs w:val="21"/>
          <w:highlight w:val="none"/>
          <w:lang w:eastAsia="zh-CN"/>
        </w:rPr>
        <w:t>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3236114">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B6D436D">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 xml:space="preserve"> 8 </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 xml:space="preserve">  4 </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F0F6C4">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4969CA34">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4887E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607657B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306A2816">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05964FE1">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6699E151">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02C533BA">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76C6820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09F1BF2F">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0DBA3918">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75AEC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660E88DC">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highlight w:val="none"/>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327E83B1">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B062B08">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4BAF754A">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12F5DED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2B6502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3D3B10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6978D176">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249FD782">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695506B8">
      <w:pPr>
        <w:pStyle w:val="5"/>
        <w:pageBreakBefore w:val="0"/>
        <w:numPr>
          <w:ilvl w:val="0"/>
          <w:numId w:val="0"/>
        </w:numPr>
        <w:kinsoku/>
        <w:wordWrap/>
        <w:overflowPunct/>
        <w:topLinePunct w:val="0"/>
        <w:bidi w:val="0"/>
        <w:spacing w:before="55" w:line="360" w:lineRule="auto"/>
        <w:ind w:left="0" w:leftChars="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2.</w:t>
      </w: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4A570EEB">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210192A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082C75C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557E07BC">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671D20B2">
      <w:pPr>
        <w:pStyle w:val="5"/>
        <w:pageBreakBefore w:val="0"/>
        <w:numPr>
          <w:ilvl w:val="0"/>
          <w:numId w:val="0"/>
        </w:numPr>
        <w:kinsoku/>
        <w:wordWrap/>
        <w:overflowPunct/>
        <w:topLinePunct w:val="0"/>
        <w:bidi w:val="0"/>
        <w:spacing w:before="55" w:line="360" w:lineRule="auto"/>
        <w:ind w:left="0" w:leftChars="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3.</w:t>
      </w:r>
      <w:r>
        <w:rPr>
          <w:rFonts w:hint="eastAsia" w:ascii="宋体" w:hAnsi="宋体" w:eastAsia="宋体" w:cs="宋体"/>
          <w:b w:val="0"/>
          <w:bCs w:val="0"/>
          <w:color w:val="auto"/>
          <w:spacing w:val="-12"/>
          <w:sz w:val="21"/>
          <w:szCs w:val="21"/>
          <w:highlight w:val="none"/>
        </w:rPr>
        <w:t>项目联系方式</w:t>
      </w:r>
    </w:p>
    <w:p w14:paraId="3EDED228">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6EFED92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B87416B">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0C949FD">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3"/>
      <w:bookmarkEnd w:id="4"/>
      <w:bookmarkStart w:id="5" w:name="bookmark4"/>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72B8F1BB">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0E6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34C299EA">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088B8F7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47E2986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351D5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FD650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777B4DE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214B660D">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4F57C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63149D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0B10066B">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375CAD1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民币62.887902万元</w:t>
            </w:r>
          </w:p>
        </w:tc>
      </w:tr>
      <w:tr w14:paraId="20992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424D51">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22054C66">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27D3FCA0">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62.887902万元</w:t>
            </w:r>
            <w:r>
              <w:rPr>
                <w:rFonts w:hint="eastAsia" w:ascii="宋体" w:hAnsi="宋体" w:eastAsia="宋体" w:cs="宋体"/>
                <w:color w:val="auto"/>
                <w:sz w:val="21"/>
                <w:szCs w:val="21"/>
                <w:highlight w:val="none"/>
                <w:lang w:eastAsia="zh-CN"/>
              </w:rPr>
              <w:t>，超出者按无效标处理。</w:t>
            </w:r>
          </w:p>
        </w:tc>
      </w:tr>
      <w:tr w14:paraId="02919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72BDB70">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29A137BE">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722147E2">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6900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0FCEF1D">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7DCE2BAE">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4C99D8B8">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C9EC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831C03D">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44EC3A2A">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3143010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5FE6F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99DD46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7D18ED12">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53220F44">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符合性审查且报价最低的参加评审,报价相同的采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1C681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16C3D6">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712DE27">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2BAE3FF0">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1ADFD65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E974644">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0CB81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037902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1FCCB7D8">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20EC342A">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39DB1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571147D">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7A5B2349">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55C45C2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0DA578F1">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71D4E0BC">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293AA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71ED089">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3EA2E886">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239685A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65AD28B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1FCC664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1D3AF1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259B940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88AE48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407ED6E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5D7ADFF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0D0E6A8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427975C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5B89807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17A31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4BD64AA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11、供应商应具有有效期内的建筑装修装饰工程专业承包二级(或以上)资质（提供证书扫描件作为证明材料）。</w:t>
            </w:r>
          </w:p>
          <w:p w14:paraId="51BD26D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12、供应商必须具有建设行政主管部门颁发有效的《安全生产许可证》（提供证书扫描件作为证明材料）。</w:t>
            </w:r>
          </w:p>
          <w:p w14:paraId="2219175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594C2C3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14、本项目不允许分包或转包。</w:t>
            </w:r>
          </w:p>
          <w:p w14:paraId="26C76C0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15、本项目不接受联合体响应。（提供声明函，格式自拟）</w:t>
            </w:r>
          </w:p>
        </w:tc>
      </w:tr>
      <w:tr w14:paraId="5EF8F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FC3D05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618EEB6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205E4AF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701398E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6CA4E7E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6253E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5BDCEF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7590BF41">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781C3DB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8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4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2C86385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0F79E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96E766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2A615FA7">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13C7C41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5063D6C1">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3A4A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EAC23C3">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2F54969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32F3D23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38E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88CB72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440A63E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1C4BDA7A">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8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4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0AE8731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电子招标采购平台进入</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点击登录签到，点击下一环节点击解密即可完成响应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1C10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2ADB88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3E40E1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32766A00">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0E966259">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3F1C44E8">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1650C260">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0529E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5EFE471">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703A16F4">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5F2052C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042F1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D8720F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14AF4146">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5998B67A">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4541E8F0">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56A09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F8D91C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866000">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164776B3">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523B9972">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9039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0BB339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33548E8C">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5FB9E3F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A1768A4">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B3F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E097B9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E56BAF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27C11D8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9B86A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lang w:eastAsia="zh-CN"/>
              </w:rPr>
            </w:pPr>
            <w:r>
              <w:rPr>
                <w:rFonts w:hint="eastAsia" w:ascii="宋体" w:hAnsi="宋体" w:eastAsia="宋体" w:cs="宋体"/>
                <w:b w:val="0"/>
                <w:bCs w:val="0"/>
                <w:color w:val="auto"/>
                <w:spacing w:val="-12"/>
                <w:sz w:val="21"/>
                <w:szCs w:val="21"/>
                <w:highlight w:val="none"/>
              </w:rPr>
              <w:t>中标供应商在合同签订前，向采购人提供相当于合同总价 5%的履约保证金，采购人将在终验完毕后返还中标供应商履约保证金（无息）</w:t>
            </w:r>
            <w:r>
              <w:rPr>
                <w:rFonts w:hint="eastAsia" w:ascii="宋体" w:hAnsi="宋体" w:eastAsia="宋体" w:cs="宋体"/>
                <w:b w:val="0"/>
                <w:bCs w:val="0"/>
                <w:color w:val="auto"/>
                <w:spacing w:val="-12"/>
                <w:sz w:val="21"/>
                <w:szCs w:val="21"/>
                <w:highlight w:val="none"/>
                <w:lang w:eastAsia="zh-CN"/>
              </w:rPr>
              <w:t>。</w:t>
            </w:r>
          </w:p>
          <w:p w14:paraId="13AD740A">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2EA5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927722">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7F02A715">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4BE1050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72D5F328">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C6EF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184A6A4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1F205BDA">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1DD2147">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DC6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68DC00DB">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467DD4B0">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66503E65">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319F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4FB8F6B4">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7FE41DDC">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3CDE4BCC">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57A9B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7B0E13B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3FCF874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5FC7242A">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530D635E">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7B3FBF17">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58657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481E52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1680165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1A9FC42D">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3C45A0BA">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FF9B158">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4B23245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25016713">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64C60D89">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3C9710A2">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26630AD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DFC2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3C9158D5">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4267EECB">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071E89B6">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748776B3">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E10E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415E94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20F679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584EFA01">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10E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63E831A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2EE384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3605A536">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493D7007">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 xml:space="preserve"> 8</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 xml:space="preserve"> 4 </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27A6F939">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198EC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jc w:val="center"/>
        </w:trPr>
        <w:tc>
          <w:tcPr>
            <w:tcW w:w="794" w:type="dxa"/>
            <w:vAlign w:val="center"/>
          </w:tcPr>
          <w:p w14:paraId="6DA0A34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5D319FD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41BC5E1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6C34519F">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502B9EC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16039C4E">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6EA82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28B358A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4458142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4F2D68D7">
            <w:pPr>
              <w:pStyle w:val="22"/>
              <w:pageBreakBefore w:val="0"/>
              <w:kinsoku/>
              <w:wordWrap/>
              <w:overflowPunct/>
              <w:topLinePunct w:val="0"/>
              <w:autoSpaceDE/>
              <w:autoSpaceDN/>
              <w:bidi w:val="0"/>
              <w:spacing w:before="48" w:line="300" w:lineRule="auto"/>
              <w:ind w:left="210" w:leftChars="100" w:right="106" w:firstLine="20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中标（成交）单位须向采购代理机构按如下标准和规定缴纳招标代理服务费。按计价格【2002】1980号、发改办价格[2003]857号标准的“服务类”计算后，再进行</w:t>
            </w:r>
            <w:r>
              <w:rPr>
                <w:rFonts w:hint="eastAsia" w:ascii="宋体" w:hAnsi="宋体" w:eastAsia="宋体" w:cs="宋体"/>
                <w:color w:val="auto"/>
                <w:spacing w:val="-5"/>
                <w:sz w:val="21"/>
                <w:szCs w:val="21"/>
                <w:highlight w:val="none"/>
                <w:lang w:val="en-US" w:eastAsia="zh-CN"/>
              </w:rPr>
              <w:t>5</w:t>
            </w:r>
            <w:r>
              <w:rPr>
                <w:rFonts w:hint="eastAsia" w:ascii="宋体" w:hAnsi="宋体" w:eastAsia="宋体" w:cs="宋体"/>
                <w:color w:val="auto"/>
                <w:spacing w:val="-5"/>
                <w:sz w:val="21"/>
                <w:szCs w:val="21"/>
                <w:highlight w:val="none"/>
              </w:rPr>
              <w:t>0%折扣收取。</w:t>
            </w:r>
          </w:p>
        </w:tc>
      </w:tr>
      <w:tr w14:paraId="7D763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65EAE364">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5C7FFD56">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75EE2C01">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本项目免费获取竞价文件。若响应项目，上传响应文件时需在电子招标采购平台提交平台技术服务费 300.00 元整。</w:t>
            </w:r>
          </w:p>
        </w:tc>
      </w:tr>
    </w:tbl>
    <w:p w14:paraId="585549C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6F05D3F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5574E746">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6BB8D26">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6"/>
      <w:bookmarkEnd w:id="7"/>
      <w:bookmarkStart w:id="8" w:name="bookmark5"/>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5AE626E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5B9EC8B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5F0906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7F0E73B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1DCFA41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21A9CAB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4957A6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62F56B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6643CF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3DF9B59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0C3872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3DD8DE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53B534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E951FA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38B6AA4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333C57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8A7B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31D5BB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7323E5E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60D65EA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FCF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4F626FB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8342E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418FE18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7B568E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04CD82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7C26A5E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6758D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60FA733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05E5E8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2AD2E1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0F696E0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19B7F8F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717B2B5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4696DB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067B2DB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3B3847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4BF7255A">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947990">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3358B55B">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6B8D0FFE">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09719DF9">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C7AEAEF">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719EFFC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5B416A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544BD82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5997C7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7F52461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3A7100C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D53443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769E6D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38CB0A2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10107857">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4FDF61B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77614BA3">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13481A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924E9D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1F47EB6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09332B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6DB7A6B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33E758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6F80678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6633C84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6B0DF20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456B786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46D9FC8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5DAC97F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1893BDE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2F46A0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126C86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D2F7D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90D858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2213B51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10C6B24">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0675A051">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6010277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31301D49">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1C7B62C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14490ED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3B753C4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4519047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50E403C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4987274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626459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7872251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3CF529F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0B9A77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04A2DA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6CD245D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41A29A4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77E7A43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38102EF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B7F55A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09D8681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63C73BA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7E5062C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5684B3E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762B0A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3089AA9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24ACEBD1">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9976FF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2EC593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7262678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1B6613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585A6E3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2FFAC60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09109F1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45B27E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05F256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713A495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16F33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24784FA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29B80C4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360911F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060ED1D">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29B85F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竞价小组依法按照竞价文件规定，对照响应文件资格审查和符合性审查材料对响应人的资格和符合进行审查。合格响应人不足5家的，应予以废标。</w:t>
      </w:r>
    </w:p>
    <w:p w14:paraId="33295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3166E2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由低到高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1C67BD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01FB1E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6ED4A46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103E88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09105A4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6C6D433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000C82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3E7021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100EA1D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527EC5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430A4F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1D4C29F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6F10575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575E3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33F107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1AB8C5E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526C011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25A554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4820EE9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0CB434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17F72C0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3C169C55">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09A4A00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070418E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77DEABCB">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6293D8A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84DD6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695B04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1E2D4E8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5B0BD2B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754E903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49F225A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1E535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F19931F">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431C5A2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584DDE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375A9F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3CC2A66A">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702353D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6635DD3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40634A1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0E9EA7A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75354E8A">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06B4B6E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6F865D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156D45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46BC95C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EF60CA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32A9E11B">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5484B4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546A437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1B743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617D5E9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333E8F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0237556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5FD9055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60DDDD5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报价超出最高限价的；</w:t>
      </w:r>
    </w:p>
    <w:p w14:paraId="7DC97C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5A80C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12C52DB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3027F4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0208065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36CAB1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37E6B2A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06DD8A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1D9F56C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5C2AC5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05E26C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3B1B77E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74C338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5A0D29F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17363E13">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65E460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27488D5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C5AFB0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237B433F">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7DA1389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5C08519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07B9404E">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306CAC64">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9AD70B7">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014751F7">
      <w:pPr>
        <w:pageBreakBefore w:val="0"/>
        <w:kinsoku/>
        <w:wordWrap/>
        <w:overflowPunct/>
        <w:topLinePunct w:val="0"/>
        <w:bidi w:val="0"/>
        <w:spacing w:line="455" w:lineRule="auto"/>
        <w:rPr>
          <w:rFonts w:hint="eastAsia" w:ascii="宋体" w:hAnsi="宋体" w:eastAsia="宋体" w:cs="宋体"/>
          <w:color w:val="auto"/>
          <w:sz w:val="21"/>
          <w:highlight w:val="none"/>
        </w:rPr>
      </w:pPr>
    </w:p>
    <w:p w14:paraId="1AA23AB3">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C8AEE9F">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681FCA79">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18C3C05E">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302"/>
        <w:gridCol w:w="1044"/>
        <w:gridCol w:w="2151"/>
      </w:tblGrid>
      <w:tr w14:paraId="34294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4D46FFBC">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302" w:type="dxa"/>
            <w:shd w:val="clear" w:color="auto" w:fill="BEBEBE" w:themeFill="background1" w:themeFillShade="BF"/>
            <w:vAlign w:val="top"/>
          </w:tcPr>
          <w:p w14:paraId="0C092F27">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044" w:type="dxa"/>
            <w:shd w:val="clear" w:color="auto" w:fill="BEBEBE" w:themeFill="background1" w:themeFillShade="BF"/>
            <w:vAlign w:val="top"/>
          </w:tcPr>
          <w:p w14:paraId="5B2E52A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752BE244">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3DEF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40CAF443">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302" w:type="dxa"/>
            <w:vAlign w:val="top"/>
          </w:tcPr>
          <w:p w14:paraId="117E557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044" w:type="dxa"/>
            <w:vAlign w:val="center"/>
          </w:tcPr>
          <w:p w14:paraId="7C6BC11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3D5A1A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6A5B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012A1D50">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302" w:type="dxa"/>
            <w:vAlign w:val="center"/>
          </w:tcPr>
          <w:p w14:paraId="4EBBA818">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044" w:type="dxa"/>
            <w:vAlign w:val="center"/>
          </w:tcPr>
          <w:p w14:paraId="6155518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707547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7CA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282D58E6">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302" w:type="dxa"/>
            <w:vAlign w:val="center"/>
          </w:tcPr>
          <w:p w14:paraId="23F236F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4CEB4C6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BFBD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337B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3871A91F">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302" w:type="dxa"/>
            <w:vAlign w:val="center"/>
          </w:tcPr>
          <w:p w14:paraId="433E42A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35C0619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E5CC1FC">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956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57CE7F5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302" w:type="dxa"/>
            <w:vAlign w:val="center"/>
          </w:tcPr>
          <w:p w14:paraId="0813D53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044" w:type="dxa"/>
            <w:vAlign w:val="center"/>
          </w:tcPr>
          <w:p w14:paraId="6361721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0F249F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17A4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0673CFE5">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302" w:type="dxa"/>
            <w:vAlign w:val="center"/>
          </w:tcPr>
          <w:p w14:paraId="5D6B13D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044" w:type="dxa"/>
            <w:vAlign w:val="center"/>
          </w:tcPr>
          <w:p w14:paraId="2A54D886">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1ACAB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0CDD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42" w:type="dxa"/>
            <w:vAlign w:val="center"/>
          </w:tcPr>
          <w:p w14:paraId="7309630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302" w:type="dxa"/>
            <w:vAlign w:val="center"/>
          </w:tcPr>
          <w:p w14:paraId="08A36DB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044" w:type="dxa"/>
            <w:vAlign w:val="center"/>
          </w:tcPr>
          <w:p w14:paraId="5A546EBB">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88D8AB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2ACB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376A0AC7">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302" w:type="dxa"/>
            <w:vAlign w:val="center"/>
          </w:tcPr>
          <w:p w14:paraId="022626A7">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044" w:type="dxa"/>
            <w:vAlign w:val="center"/>
          </w:tcPr>
          <w:p w14:paraId="0591F70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CD255A9">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4A541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95D9E3">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302" w:type="dxa"/>
            <w:vAlign w:val="center"/>
          </w:tcPr>
          <w:p w14:paraId="0E86252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044" w:type="dxa"/>
            <w:vAlign w:val="center"/>
          </w:tcPr>
          <w:p w14:paraId="6F3387C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26F0C9">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12D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5C2BDE53">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302" w:type="dxa"/>
            <w:vAlign w:val="center"/>
          </w:tcPr>
          <w:p w14:paraId="2E9192F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供应商应具有有效期内的建筑装修装饰工程专业承包二级(或以上)资质（提供证书扫描件作为证明材料）。</w:t>
            </w:r>
          </w:p>
          <w:p w14:paraId="037E226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p>
        </w:tc>
        <w:tc>
          <w:tcPr>
            <w:tcW w:w="1044" w:type="dxa"/>
            <w:vAlign w:val="center"/>
          </w:tcPr>
          <w:p w14:paraId="5B885504">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BBD86C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F2DC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71B96ED7">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302" w:type="dxa"/>
            <w:vAlign w:val="center"/>
          </w:tcPr>
          <w:p w14:paraId="7B39253F">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供应商必须具有建设行政主管部门颁发有效的《安全生产许可证》（提供证书扫描件作为证明材料）。</w:t>
            </w:r>
          </w:p>
          <w:p w14:paraId="1639C36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p>
        </w:tc>
        <w:tc>
          <w:tcPr>
            <w:tcW w:w="1044" w:type="dxa"/>
            <w:vAlign w:val="center"/>
          </w:tcPr>
          <w:p w14:paraId="60C60EBA">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36F93E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4C50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4CE5A20F">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5302" w:type="dxa"/>
            <w:vAlign w:val="center"/>
          </w:tcPr>
          <w:p w14:paraId="1B1F9CA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tc>
        <w:tc>
          <w:tcPr>
            <w:tcW w:w="1044" w:type="dxa"/>
            <w:vAlign w:val="center"/>
          </w:tcPr>
          <w:p w14:paraId="2E4FF838">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645264C">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7AB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0CAD58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5302" w:type="dxa"/>
            <w:vAlign w:val="center"/>
          </w:tcPr>
          <w:p w14:paraId="03050CA6">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044" w:type="dxa"/>
            <w:vAlign w:val="center"/>
          </w:tcPr>
          <w:p w14:paraId="1E16B3D4">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BB46EC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1C4A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0EE3A0B7">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5302" w:type="dxa"/>
            <w:vAlign w:val="center"/>
          </w:tcPr>
          <w:p w14:paraId="465697C0">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044" w:type="dxa"/>
            <w:vAlign w:val="center"/>
          </w:tcPr>
          <w:p w14:paraId="656A882A">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0AF79A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15A5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844" w:type="dxa"/>
            <w:gridSpan w:val="2"/>
            <w:vAlign w:val="center"/>
          </w:tcPr>
          <w:p w14:paraId="2CBFC634">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195" w:type="dxa"/>
            <w:gridSpan w:val="2"/>
            <w:vAlign w:val="center"/>
          </w:tcPr>
          <w:p w14:paraId="2940269B">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0CFEB91">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5B961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00C01C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1C28ECBE">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59D5506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6D5003B7">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5A564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0DF54B5F">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6E66081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报价超过竞价文件中规定的项目预算金额或者项目最高限价的。</w:t>
            </w:r>
          </w:p>
        </w:tc>
        <w:tc>
          <w:tcPr>
            <w:tcW w:w="1358" w:type="dxa"/>
            <w:vAlign w:val="center"/>
          </w:tcPr>
          <w:p w14:paraId="2C351604">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74C2B87">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4676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0B56870">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6F6EFEB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060D729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3225304">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397A0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1824B842">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024DF90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0DBB53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020194A2">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E52B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319DA70">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78DE347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1CE3ACF1">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6B7A9E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C8BD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177AE99">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17EFCE4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2203126B">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092712F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3861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2449D3E5">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65276D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30A1BB72">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C64C31A">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2CA0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jc w:val="center"/>
        </w:trPr>
        <w:tc>
          <w:tcPr>
            <w:tcW w:w="816" w:type="dxa"/>
            <w:vAlign w:val="center"/>
          </w:tcPr>
          <w:p w14:paraId="7CBD752E">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1295A0D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5138A0A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D34CAC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4564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6710CC0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6411641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5A5423DA">
      <w:pPr>
        <w:pageBreakBefore w:val="0"/>
        <w:kinsoku/>
        <w:wordWrap/>
        <w:overflowPunct/>
        <w:topLinePunct w:val="0"/>
        <w:bidi w:val="0"/>
        <w:rPr>
          <w:rFonts w:hint="eastAsia" w:ascii="宋体" w:hAnsi="宋体" w:eastAsia="宋体" w:cs="宋体"/>
          <w:b/>
          <w:bCs/>
          <w:color w:val="auto"/>
          <w:position w:val="1"/>
          <w:highlight w:val="none"/>
        </w:rPr>
      </w:pPr>
      <w:bookmarkStart w:id="13" w:name="bookmark9"/>
      <w:bookmarkEnd w:id="13"/>
      <w:bookmarkStart w:id="14" w:name="bookmark12"/>
      <w:bookmarkEnd w:id="14"/>
      <w:bookmarkStart w:id="15" w:name="bookmark14"/>
      <w:bookmarkEnd w:id="15"/>
      <w:bookmarkStart w:id="16" w:name="bookmark10"/>
      <w:bookmarkEnd w:id="16"/>
      <w:r>
        <w:rPr>
          <w:rFonts w:hint="eastAsia" w:ascii="宋体" w:hAnsi="宋体" w:eastAsia="宋体" w:cs="宋体"/>
          <w:b/>
          <w:bCs/>
          <w:color w:val="auto"/>
          <w:position w:val="1"/>
          <w:highlight w:val="none"/>
        </w:rPr>
        <w:br w:type="page"/>
      </w:r>
    </w:p>
    <w:p w14:paraId="756F186B">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C02F5B3">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30F4BF47">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0CA498E9">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eastAsia="宋体" w:cs="宋体"/>
          <w:kern w:val="28"/>
          <w:highlight w:val="none"/>
          <w:lang w:val="en-US" w:eastAsia="zh-CN"/>
        </w:rPr>
        <w:t>3、</w:t>
      </w:r>
      <w:r>
        <w:rPr>
          <w:rFonts w:hint="eastAsia" w:ascii="宋体" w:hAnsi="宋体" w:cs="宋体"/>
          <w:kern w:val="28"/>
          <w:highlight w:val="none"/>
        </w:rPr>
        <w:t>全文其余条款及本章带★条款均为实质性条款，投标人须全部响应，不满足予以废标。本章无★内容为一般性常规需求，不作强制响应要求、无评审分值，鼓励投标人主动响应，未响应</w:t>
      </w:r>
      <w:r>
        <w:rPr>
          <w:rFonts w:hint="eastAsia" w:ascii="宋体" w:hAnsi="宋体" w:eastAsia="宋体" w:cs="宋体"/>
          <w:kern w:val="28"/>
          <w:highlight w:val="none"/>
          <w:lang w:val="en-US" w:eastAsia="zh-CN"/>
        </w:rPr>
        <w:t>提供证明资料的</w:t>
      </w:r>
      <w:r>
        <w:rPr>
          <w:rFonts w:hint="eastAsia" w:ascii="宋体" w:hAnsi="宋体" w:cs="宋体"/>
          <w:kern w:val="28"/>
          <w:highlight w:val="none"/>
        </w:rPr>
        <w:t>不予废标</w:t>
      </w:r>
      <w:r>
        <w:rPr>
          <w:rFonts w:hint="eastAsia" w:ascii="宋体" w:hAnsi="宋体" w:eastAsia="宋体" w:cs="宋体"/>
          <w:kern w:val="28"/>
          <w:highlight w:val="none"/>
          <w:lang w:eastAsia="zh-CN"/>
        </w:rPr>
        <w:t>，</w:t>
      </w:r>
      <w:r>
        <w:rPr>
          <w:rFonts w:hint="eastAsia" w:ascii="宋体" w:hAnsi="宋体" w:eastAsia="宋体" w:cs="宋体"/>
          <w:kern w:val="28"/>
          <w:highlight w:val="none"/>
          <w:lang w:val="en-US" w:eastAsia="zh-CN"/>
        </w:rPr>
        <w:t>属于有效投标</w:t>
      </w:r>
      <w:r>
        <w:rPr>
          <w:rFonts w:hint="eastAsia" w:ascii="宋体" w:hAnsi="宋体" w:cs="宋体"/>
          <w:kern w:val="28"/>
          <w:highlight w:val="none"/>
        </w:rPr>
        <w:t>。</w:t>
      </w:r>
    </w:p>
    <w:p w14:paraId="220B790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z w:val="22"/>
          <w:szCs w:val="22"/>
          <w:highlight w:val="none"/>
          <w:lang w:val="en-US" w:eastAsia="zh-CN"/>
        </w:rPr>
      </w:pPr>
    </w:p>
    <w:p w14:paraId="197C6F94">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第一项、 商务部分</w:t>
      </w:r>
    </w:p>
    <w:tbl>
      <w:tblPr>
        <w:tblStyle w:val="17"/>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68"/>
        <w:gridCol w:w="5473"/>
      </w:tblGrid>
      <w:tr w14:paraId="56B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09" w:type="dxa"/>
            <w:shd w:val="clear" w:color="auto" w:fill="A6A6A6"/>
            <w:vAlign w:val="center"/>
          </w:tcPr>
          <w:p w14:paraId="23116476">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868" w:type="dxa"/>
            <w:shd w:val="clear" w:color="auto" w:fill="A6A6A6"/>
            <w:vAlign w:val="center"/>
          </w:tcPr>
          <w:p w14:paraId="3B5FC359">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5473" w:type="dxa"/>
            <w:shd w:val="clear" w:color="auto" w:fill="A6A6A6"/>
            <w:vAlign w:val="center"/>
          </w:tcPr>
          <w:p w14:paraId="15A5A88E">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说明和要求</w:t>
            </w:r>
          </w:p>
        </w:tc>
      </w:tr>
      <w:tr w14:paraId="5E76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709" w:type="dxa"/>
            <w:vAlign w:val="center"/>
          </w:tcPr>
          <w:p w14:paraId="3038461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1868" w:type="dxa"/>
            <w:shd w:val="clear" w:color="auto" w:fill="auto"/>
            <w:vAlign w:val="top"/>
          </w:tcPr>
          <w:p w14:paraId="448D632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是否收取履约保证金</w:t>
            </w:r>
          </w:p>
        </w:tc>
        <w:tc>
          <w:tcPr>
            <w:tcW w:w="5473" w:type="dxa"/>
            <w:shd w:val="clear" w:color="auto" w:fill="auto"/>
            <w:vAlign w:val="center"/>
          </w:tcPr>
          <w:p w14:paraId="5052877F">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是，中标供应商在合同签订前，向采购人提供相当于合同总价 5%的履约保证金，采购人将在终验完毕后返还中标供应商履约保证金（无息）</w:t>
            </w:r>
          </w:p>
        </w:tc>
      </w:tr>
      <w:tr w14:paraId="0F9D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vAlign w:val="center"/>
          </w:tcPr>
          <w:p w14:paraId="39BA6A44">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1868" w:type="dxa"/>
            <w:vAlign w:val="top"/>
          </w:tcPr>
          <w:p w14:paraId="7E6CA08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是否专门面向中小企业</w:t>
            </w:r>
          </w:p>
        </w:tc>
        <w:tc>
          <w:tcPr>
            <w:tcW w:w="5473" w:type="dxa"/>
            <w:vAlign w:val="center"/>
          </w:tcPr>
          <w:p w14:paraId="2DDB6A0B">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w:t>
            </w:r>
          </w:p>
        </w:tc>
      </w:tr>
      <w:tr w14:paraId="302D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vAlign w:val="center"/>
          </w:tcPr>
          <w:p w14:paraId="2A87859C">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1868" w:type="dxa"/>
            <w:vAlign w:val="top"/>
          </w:tcPr>
          <w:p w14:paraId="5A4F5F96">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采购人信息</w:t>
            </w:r>
          </w:p>
        </w:tc>
        <w:tc>
          <w:tcPr>
            <w:tcW w:w="5473" w:type="dxa"/>
            <w:vAlign w:val="center"/>
          </w:tcPr>
          <w:p w14:paraId="36A561FF">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单位名称：中国人民警察大学（广州），单位地址： 广州市天河区奥体南路399号中国人民警察大学（广州），联系人姓名：郝老师，联系电话：020-82335121    </w:t>
            </w:r>
          </w:p>
        </w:tc>
      </w:tr>
      <w:tr w14:paraId="165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9" w:type="dxa"/>
            <w:vAlign w:val="top"/>
          </w:tcPr>
          <w:p w14:paraId="78D93D2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p>
        </w:tc>
        <w:tc>
          <w:tcPr>
            <w:tcW w:w="1868" w:type="dxa"/>
            <w:vAlign w:val="top"/>
          </w:tcPr>
          <w:p w14:paraId="404031DE">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最高限价</w:t>
            </w:r>
          </w:p>
        </w:tc>
        <w:tc>
          <w:tcPr>
            <w:tcW w:w="5473" w:type="dxa"/>
            <w:vAlign w:val="center"/>
          </w:tcPr>
          <w:p w14:paraId="307523E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最高限价：人民币 62.887902万元</w:t>
            </w:r>
          </w:p>
        </w:tc>
      </w:tr>
      <w:tr w14:paraId="14F7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709" w:type="dxa"/>
            <w:vAlign w:val="top"/>
          </w:tcPr>
          <w:p w14:paraId="1D531F6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5</w:t>
            </w:r>
          </w:p>
        </w:tc>
        <w:tc>
          <w:tcPr>
            <w:tcW w:w="1868" w:type="dxa"/>
            <w:vAlign w:val="top"/>
          </w:tcPr>
          <w:p w14:paraId="6D2C733A">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项目履约时间</w:t>
            </w:r>
          </w:p>
        </w:tc>
        <w:tc>
          <w:tcPr>
            <w:tcW w:w="5473" w:type="dxa"/>
            <w:vAlign w:val="center"/>
          </w:tcPr>
          <w:p w14:paraId="1D9A235A">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合同签订后，接到甲方书面开工通知后 45  个日历天内完工。</w:t>
            </w:r>
          </w:p>
        </w:tc>
      </w:tr>
    </w:tbl>
    <w:p w14:paraId="51DF9CC8">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Theme="minorEastAsia" w:hAnsiTheme="minorEastAsia" w:eastAsiaTheme="minorEastAsia" w:cstheme="minorEastAsia"/>
          <w:b/>
          <w:bCs/>
          <w:color w:val="auto"/>
          <w:sz w:val="24"/>
          <w:szCs w:val="24"/>
          <w:highlight w:val="none"/>
          <w:lang w:val="en-US" w:eastAsia="zh-CN"/>
        </w:rPr>
      </w:pPr>
    </w:p>
    <w:p w14:paraId="2D53FD9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第二项、 技术需求部分</w:t>
      </w:r>
    </w:p>
    <w:p w14:paraId="3C7519D7">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bookmarkStart w:id="18" w:name="_Toc5600"/>
      <w:r>
        <w:rPr>
          <w:rFonts w:hint="eastAsia" w:asciiTheme="minorEastAsia" w:hAnsiTheme="minorEastAsia" w:eastAsiaTheme="minorEastAsia" w:cstheme="minorEastAsia"/>
          <w:b/>
          <w:kern w:val="0"/>
          <w:sz w:val="21"/>
          <w:szCs w:val="21"/>
          <w:highlight w:val="none"/>
          <w:lang w:bidi="en-US"/>
        </w:rPr>
        <w:t>一、项目概述</w:t>
      </w:r>
    </w:p>
    <w:p w14:paraId="34EC8D3D">
      <w:pPr>
        <w:spacing w:line="36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不作为打分项，供</w:t>
      </w:r>
      <w:r>
        <w:rPr>
          <w:rFonts w:hint="eastAsia" w:asciiTheme="minorEastAsia" w:hAnsiTheme="minorEastAsia" w:eastAsiaTheme="minorEastAsia" w:cstheme="minorEastAsia"/>
          <w:b/>
          <w:sz w:val="21"/>
          <w:szCs w:val="21"/>
          <w:highlight w:val="none"/>
          <w:lang w:eastAsia="zh-CN"/>
        </w:rPr>
        <w:t>响应人</w:t>
      </w:r>
      <w:r>
        <w:rPr>
          <w:rFonts w:hint="eastAsia" w:asciiTheme="minorEastAsia" w:hAnsiTheme="minorEastAsia" w:eastAsiaTheme="minorEastAsia" w:cstheme="minorEastAsia"/>
          <w:b/>
          <w:sz w:val="21"/>
          <w:szCs w:val="21"/>
          <w:highlight w:val="none"/>
        </w:rPr>
        <w:t>投标参考。</w:t>
      </w:r>
    </w:p>
    <w:p w14:paraId="4EFFF423">
      <w:pPr>
        <w:rPr>
          <w:rFonts w:hint="eastAsia" w:asciiTheme="minorEastAsia" w:hAnsiTheme="minorEastAsia" w:eastAsiaTheme="minorEastAsia" w:cstheme="minorEastAsia"/>
          <w:sz w:val="21"/>
          <w:szCs w:val="21"/>
          <w:highlight w:val="none"/>
          <w:lang w:bidi="en-US"/>
        </w:rPr>
      </w:pPr>
    </w:p>
    <w:tbl>
      <w:tblPr>
        <w:tblStyle w:val="17"/>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836"/>
        <w:gridCol w:w="5700"/>
      </w:tblGrid>
      <w:tr w14:paraId="719D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72A6E7B">
            <w:pPr>
              <w:widowControl/>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836"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87076A0">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570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3B191FAC">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说明</w:t>
            </w:r>
          </w:p>
        </w:tc>
      </w:tr>
      <w:tr w14:paraId="2764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vAlign w:val="center"/>
          </w:tcPr>
          <w:p w14:paraId="6588D803">
            <w:pPr>
              <w:widowControl/>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836" w:type="dxa"/>
            <w:tcBorders>
              <w:top w:val="single" w:color="auto" w:sz="4" w:space="0"/>
              <w:left w:val="single" w:color="auto" w:sz="4" w:space="0"/>
              <w:bottom w:val="single" w:color="auto" w:sz="4" w:space="0"/>
              <w:right w:val="single" w:color="auto" w:sz="4" w:space="0"/>
            </w:tcBorders>
            <w:vAlign w:val="center"/>
          </w:tcPr>
          <w:p w14:paraId="5650D973">
            <w:pP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项目基本介绍</w:t>
            </w:r>
          </w:p>
        </w:tc>
        <w:tc>
          <w:tcPr>
            <w:tcW w:w="5700" w:type="dxa"/>
            <w:tcBorders>
              <w:top w:val="single" w:color="auto" w:sz="4" w:space="0"/>
              <w:left w:val="single" w:color="auto" w:sz="4" w:space="0"/>
              <w:bottom w:val="single" w:color="auto" w:sz="4" w:space="0"/>
              <w:right w:val="single" w:color="auto" w:sz="4" w:space="0"/>
            </w:tcBorders>
            <w:vAlign w:val="center"/>
          </w:tcPr>
          <w:p w14:paraId="03D657E0">
            <w:pPr>
              <w:spacing w:line="36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计算机专修室整体环境改造，满足高校计算机室建设规范要求。</w:t>
            </w:r>
          </w:p>
        </w:tc>
      </w:tr>
      <w:tr w14:paraId="6AD6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vAlign w:val="center"/>
          </w:tcPr>
          <w:p w14:paraId="420338EA">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836" w:type="dxa"/>
            <w:tcBorders>
              <w:top w:val="single" w:color="auto" w:sz="4" w:space="0"/>
              <w:left w:val="single" w:color="auto" w:sz="4" w:space="0"/>
              <w:bottom w:val="single" w:color="auto" w:sz="4" w:space="0"/>
              <w:right w:val="single" w:color="auto" w:sz="4" w:space="0"/>
            </w:tcBorders>
            <w:vAlign w:val="center"/>
          </w:tcPr>
          <w:p w14:paraId="08994D11">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项目地理位置</w:t>
            </w:r>
          </w:p>
        </w:tc>
        <w:tc>
          <w:tcPr>
            <w:tcW w:w="5700" w:type="dxa"/>
            <w:tcBorders>
              <w:top w:val="single" w:color="auto" w:sz="4" w:space="0"/>
              <w:left w:val="single" w:color="auto" w:sz="4" w:space="0"/>
              <w:bottom w:val="single" w:color="auto" w:sz="4" w:space="0"/>
              <w:right w:val="single" w:color="auto" w:sz="4" w:space="0"/>
            </w:tcBorders>
            <w:vAlign w:val="center"/>
          </w:tcPr>
          <w:p w14:paraId="66E5D845">
            <w:pPr>
              <w:spacing w:line="36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中国人民警察大学</w:t>
            </w:r>
            <w:r>
              <w:rPr>
                <w:rFonts w:hint="eastAsia" w:asciiTheme="minorEastAsia" w:hAnsiTheme="minorEastAsia" w:eastAsiaTheme="minorEastAsia" w:cstheme="minorEastAsia"/>
                <w:sz w:val="21"/>
                <w:szCs w:val="21"/>
                <w:highlight w:val="none"/>
                <w:lang w:val="en-US" w:eastAsia="zh-CN"/>
              </w:rPr>
              <w:t>广州校区</w:t>
            </w:r>
          </w:p>
        </w:tc>
      </w:tr>
      <w:tr w14:paraId="15A8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63" w:type="dxa"/>
            <w:tcBorders>
              <w:top w:val="single" w:color="auto" w:sz="4" w:space="0"/>
              <w:left w:val="single" w:color="auto" w:sz="4" w:space="0"/>
              <w:bottom w:val="single" w:color="auto" w:sz="4" w:space="0"/>
              <w:right w:val="single" w:color="auto" w:sz="4" w:space="0"/>
            </w:tcBorders>
            <w:vAlign w:val="center"/>
          </w:tcPr>
          <w:p w14:paraId="50DF381F">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836" w:type="dxa"/>
            <w:tcBorders>
              <w:top w:val="single" w:color="auto" w:sz="4" w:space="0"/>
              <w:left w:val="single" w:color="auto" w:sz="4" w:space="0"/>
              <w:bottom w:val="single" w:color="auto" w:sz="4" w:space="0"/>
              <w:right w:val="single" w:color="auto" w:sz="4" w:space="0"/>
            </w:tcBorders>
            <w:vAlign w:val="center"/>
          </w:tcPr>
          <w:p w14:paraId="396D92F0">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执行依据及规范</w:t>
            </w:r>
          </w:p>
        </w:tc>
        <w:tc>
          <w:tcPr>
            <w:tcW w:w="5700" w:type="dxa"/>
            <w:tcBorders>
              <w:top w:val="single" w:color="auto" w:sz="4" w:space="0"/>
              <w:left w:val="single" w:color="auto" w:sz="4" w:space="0"/>
              <w:bottom w:val="single" w:color="auto" w:sz="4" w:space="0"/>
              <w:right w:val="single" w:color="auto" w:sz="4" w:space="0"/>
            </w:tcBorders>
            <w:vAlign w:val="center"/>
          </w:tcPr>
          <w:p w14:paraId="6EC64CDC">
            <w:pPr>
              <w:widowControl/>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GB/T 2887-2011《计算机场地通用规范》、GB 50311-2016《综合布线系统工程设计规范》</w:t>
            </w:r>
          </w:p>
        </w:tc>
      </w:tr>
      <w:tr w14:paraId="428D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63" w:type="dxa"/>
            <w:tcBorders>
              <w:top w:val="single" w:color="auto" w:sz="4" w:space="0"/>
              <w:left w:val="single" w:color="auto" w:sz="4" w:space="0"/>
              <w:bottom w:val="single" w:color="auto" w:sz="4" w:space="0"/>
              <w:right w:val="single" w:color="auto" w:sz="4" w:space="0"/>
            </w:tcBorders>
            <w:vAlign w:val="center"/>
          </w:tcPr>
          <w:p w14:paraId="0982FBE6">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836" w:type="dxa"/>
            <w:tcBorders>
              <w:top w:val="single" w:color="auto" w:sz="4" w:space="0"/>
              <w:left w:val="single" w:color="auto" w:sz="4" w:space="0"/>
              <w:bottom w:val="single" w:color="auto" w:sz="4" w:space="0"/>
              <w:right w:val="single" w:color="auto" w:sz="4" w:space="0"/>
            </w:tcBorders>
            <w:vAlign w:val="center"/>
          </w:tcPr>
          <w:p w14:paraId="2E0057D7">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现场条件和周围环境</w:t>
            </w:r>
          </w:p>
        </w:tc>
        <w:tc>
          <w:tcPr>
            <w:tcW w:w="5700" w:type="dxa"/>
            <w:tcBorders>
              <w:top w:val="single" w:color="auto" w:sz="4" w:space="0"/>
              <w:left w:val="single" w:color="auto" w:sz="4" w:space="0"/>
              <w:bottom w:val="single" w:color="auto" w:sz="4" w:space="0"/>
              <w:right w:val="single" w:color="auto" w:sz="4" w:space="0"/>
            </w:tcBorders>
            <w:vAlign w:val="center"/>
          </w:tcPr>
          <w:p w14:paraId="745EFAF3">
            <w:pPr>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施工地点在中国人民警察大学（广州）校内，具备水源、电源等信息。</w:t>
            </w:r>
          </w:p>
        </w:tc>
      </w:tr>
    </w:tbl>
    <w:p w14:paraId="09C0F327">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二、项目内容一览表</w:t>
      </w:r>
    </w:p>
    <w:tbl>
      <w:tblPr>
        <w:tblStyle w:val="17"/>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353"/>
        <w:gridCol w:w="1146"/>
        <w:gridCol w:w="1067"/>
        <w:gridCol w:w="3396"/>
        <w:gridCol w:w="716"/>
      </w:tblGrid>
      <w:tr w14:paraId="086B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79" w:type="dxa"/>
            <w:tcBorders>
              <w:top w:val="single" w:color="auto" w:sz="4" w:space="0"/>
              <w:left w:val="single" w:color="auto" w:sz="4" w:space="0"/>
              <w:bottom w:val="single" w:color="auto" w:sz="4" w:space="0"/>
              <w:right w:val="single" w:color="auto" w:sz="4" w:space="0"/>
            </w:tcBorders>
            <w:shd w:val="clear" w:color="auto" w:fill="A6A6A6"/>
          </w:tcPr>
          <w:p w14:paraId="5EAFF6C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353" w:type="dxa"/>
            <w:tcBorders>
              <w:top w:val="single" w:color="auto" w:sz="4" w:space="0"/>
              <w:left w:val="single" w:color="auto" w:sz="4" w:space="0"/>
              <w:bottom w:val="single" w:color="auto" w:sz="4" w:space="0"/>
              <w:right w:val="single" w:color="auto" w:sz="4" w:space="0"/>
            </w:tcBorders>
            <w:shd w:val="clear" w:color="auto" w:fill="A6A6A6"/>
          </w:tcPr>
          <w:p w14:paraId="3F5835E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项 目</w:t>
            </w:r>
          </w:p>
        </w:tc>
        <w:tc>
          <w:tcPr>
            <w:tcW w:w="1146" w:type="dxa"/>
            <w:tcBorders>
              <w:top w:val="single" w:color="auto" w:sz="4" w:space="0"/>
              <w:left w:val="single" w:color="auto" w:sz="4" w:space="0"/>
              <w:bottom w:val="single" w:color="auto" w:sz="4" w:space="0"/>
              <w:right w:val="single" w:color="auto" w:sz="4" w:space="0"/>
            </w:tcBorders>
            <w:shd w:val="clear" w:color="auto" w:fill="A6A6A6"/>
          </w:tcPr>
          <w:p w14:paraId="441C123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数 量</w:t>
            </w:r>
          </w:p>
        </w:tc>
        <w:tc>
          <w:tcPr>
            <w:tcW w:w="1067" w:type="dxa"/>
            <w:tcBorders>
              <w:top w:val="single" w:color="auto" w:sz="4" w:space="0"/>
              <w:left w:val="single" w:color="auto" w:sz="4" w:space="0"/>
              <w:bottom w:val="single" w:color="auto" w:sz="4" w:space="0"/>
              <w:right w:val="single" w:color="auto" w:sz="4" w:space="0"/>
            </w:tcBorders>
            <w:shd w:val="clear" w:color="auto" w:fill="A6A6A6"/>
          </w:tcPr>
          <w:p w14:paraId="1B49393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基本条件</w:t>
            </w:r>
          </w:p>
        </w:tc>
        <w:tc>
          <w:tcPr>
            <w:tcW w:w="3396" w:type="dxa"/>
            <w:tcBorders>
              <w:top w:val="single" w:color="auto" w:sz="4" w:space="0"/>
              <w:left w:val="single" w:color="auto" w:sz="4" w:space="0"/>
              <w:bottom w:val="single" w:color="auto" w:sz="4" w:space="0"/>
              <w:right w:val="single" w:color="auto" w:sz="4" w:space="0"/>
            </w:tcBorders>
            <w:shd w:val="clear" w:color="auto" w:fill="A6A6A6"/>
          </w:tcPr>
          <w:p w14:paraId="2EBB324F">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w:t>
            </w:r>
          </w:p>
        </w:tc>
        <w:tc>
          <w:tcPr>
            <w:tcW w:w="716" w:type="dxa"/>
            <w:tcBorders>
              <w:top w:val="single" w:color="auto" w:sz="4" w:space="0"/>
              <w:left w:val="single" w:color="auto" w:sz="4" w:space="0"/>
              <w:bottom w:val="single" w:color="auto" w:sz="4" w:space="0"/>
              <w:right w:val="single" w:color="auto" w:sz="4" w:space="0"/>
            </w:tcBorders>
            <w:shd w:val="clear" w:color="auto" w:fill="A6A6A6"/>
          </w:tcPr>
          <w:p w14:paraId="58B21CE5">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备注</w:t>
            </w:r>
          </w:p>
        </w:tc>
      </w:tr>
      <w:tr w14:paraId="7AD3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879" w:type="dxa"/>
            <w:tcBorders>
              <w:top w:val="single" w:color="auto" w:sz="4" w:space="0"/>
              <w:left w:val="single" w:color="auto" w:sz="4" w:space="0"/>
              <w:bottom w:val="single" w:color="auto" w:sz="4" w:space="0"/>
              <w:right w:val="single" w:color="auto" w:sz="4" w:space="0"/>
            </w:tcBorders>
            <w:vAlign w:val="center"/>
          </w:tcPr>
          <w:p w14:paraId="623121D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353" w:type="dxa"/>
            <w:tcBorders>
              <w:top w:val="single" w:color="auto" w:sz="4" w:space="0"/>
              <w:left w:val="single" w:color="auto" w:sz="4" w:space="0"/>
              <w:bottom w:val="single" w:color="auto" w:sz="4" w:space="0"/>
              <w:right w:val="single" w:color="auto" w:sz="4" w:space="0"/>
            </w:tcBorders>
            <w:vAlign w:val="center"/>
          </w:tcPr>
          <w:p w14:paraId="1F190671">
            <w:pPr>
              <w:jc w:val="lef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2026年中国人民警察大学（广州）10号楼1楼计算机专修室升级改造项目-工程部分</w:t>
            </w:r>
          </w:p>
        </w:tc>
        <w:tc>
          <w:tcPr>
            <w:tcW w:w="1146" w:type="dxa"/>
            <w:tcBorders>
              <w:top w:val="single" w:color="auto" w:sz="4" w:space="0"/>
              <w:left w:val="single" w:color="auto" w:sz="4" w:space="0"/>
              <w:bottom w:val="single" w:color="auto" w:sz="4" w:space="0"/>
              <w:right w:val="single" w:color="auto" w:sz="4" w:space="0"/>
            </w:tcBorders>
            <w:vAlign w:val="center"/>
          </w:tcPr>
          <w:p w14:paraId="75157AE0">
            <w:pPr>
              <w:jc w:val="center"/>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1项</w:t>
            </w:r>
          </w:p>
        </w:tc>
        <w:tc>
          <w:tcPr>
            <w:tcW w:w="1067" w:type="dxa"/>
            <w:tcBorders>
              <w:top w:val="single" w:color="auto" w:sz="4" w:space="0"/>
              <w:left w:val="single" w:color="auto" w:sz="4" w:space="0"/>
              <w:bottom w:val="single" w:color="auto" w:sz="4" w:space="0"/>
              <w:right w:val="single" w:color="auto" w:sz="4" w:space="0"/>
            </w:tcBorders>
            <w:vAlign w:val="center"/>
          </w:tcPr>
          <w:p w14:paraId="3328E1CF">
            <w:pPr>
              <w:jc w:val="left"/>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计算机专修室环境升级改造</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rPr>
              <w:t>具备水源电源</w:t>
            </w:r>
          </w:p>
        </w:tc>
        <w:tc>
          <w:tcPr>
            <w:tcW w:w="3396" w:type="dxa"/>
            <w:tcBorders>
              <w:top w:val="single" w:color="auto" w:sz="4" w:space="0"/>
              <w:left w:val="single" w:color="auto" w:sz="4" w:space="0"/>
              <w:bottom w:val="single" w:color="auto" w:sz="4" w:space="0"/>
              <w:right w:val="single" w:color="auto" w:sz="4" w:space="0"/>
            </w:tcBorders>
            <w:vAlign w:val="center"/>
          </w:tcPr>
          <w:p w14:paraId="73243C36">
            <w:pPr>
              <w:jc w:val="left"/>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包含天花、地面、墙面、窗户等改造，面积400平方左右</w:t>
            </w:r>
          </w:p>
        </w:tc>
        <w:tc>
          <w:tcPr>
            <w:tcW w:w="716" w:type="dxa"/>
            <w:tcBorders>
              <w:top w:val="single" w:color="auto" w:sz="4" w:space="0"/>
              <w:left w:val="single" w:color="auto" w:sz="4" w:space="0"/>
              <w:bottom w:val="single" w:color="auto" w:sz="4" w:space="0"/>
              <w:right w:val="single" w:color="auto" w:sz="4" w:space="0"/>
            </w:tcBorders>
            <w:vAlign w:val="center"/>
          </w:tcPr>
          <w:p w14:paraId="43BEA6CD">
            <w:pPr>
              <w:jc w:val="left"/>
              <w:rPr>
                <w:rFonts w:hint="eastAsia" w:asciiTheme="minorEastAsia" w:hAnsiTheme="minorEastAsia" w:eastAsiaTheme="minorEastAsia" w:cstheme="minorEastAsia"/>
                <w:b/>
                <w:sz w:val="21"/>
                <w:szCs w:val="21"/>
                <w:highlight w:val="none"/>
              </w:rPr>
            </w:pPr>
          </w:p>
        </w:tc>
      </w:tr>
    </w:tbl>
    <w:p w14:paraId="7ADEB101">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三、施工材料要求</w:t>
      </w:r>
    </w:p>
    <w:tbl>
      <w:tblPr>
        <w:tblStyle w:val="17"/>
        <w:tblW w:w="83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816"/>
        <w:gridCol w:w="875"/>
        <w:gridCol w:w="4594"/>
        <w:gridCol w:w="1482"/>
      </w:tblGrid>
      <w:tr w14:paraId="3A92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30" w:type="dxa"/>
            <w:tcBorders>
              <w:top w:val="single" w:color="auto" w:sz="4" w:space="0"/>
              <w:left w:val="single" w:color="auto" w:sz="4" w:space="0"/>
              <w:bottom w:val="single" w:color="auto" w:sz="4" w:space="0"/>
              <w:right w:val="single" w:color="auto" w:sz="4" w:space="0"/>
            </w:tcBorders>
            <w:shd w:val="clear" w:color="auto" w:fill="D9D9D9"/>
            <w:vAlign w:val="center"/>
          </w:tcPr>
          <w:p w14:paraId="6F91D868">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816" w:type="dxa"/>
            <w:tcBorders>
              <w:top w:val="single" w:color="auto" w:sz="4" w:space="0"/>
              <w:left w:val="nil"/>
              <w:bottom w:val="single" w:color="auto" w:sz="4" w:space="0"/>
              <w:right w:val="single" w:color="auto" w:sz="4" w:space="0"/>
            </w:tcBorders>
            <w:shd w:val="clear" w:color="auto" w:fill="D9D9D9"/>
            <w:vAlign w:val="center"/>
          </w:tcPr>
          <w:p w14:paraId="12059A59">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875" w:type="dxa"/>
            <w:tcBorders>
              <w:top w:val="single" w:color="auto" w:sz="4" w:space="0"/>
              <w:left w:val="nil"/>
              <w:bottom w:val="single" w:color="auto" w:sz="4" w:space="0"/>
              <w:right w:val="single" w:color="auto" w:sz="4" w:space="0"/>
            </w:tcBorders>
            <w:shd w:val="clear" w:color="auto" w:fill="D9D9D9"/>
            <w:vAlign w:val="center"/>
          </w:tcPr>
          <w:p w14:paraId="4FC410CD">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材料名称</w:t>
            </w:r>
          </w:p>
        </w:tc>
        <w:tc>
          <w:tcPr>
            <w:tcW w:w="4594" w:type="dxa"/>
            <w:tcBorders>
              <w:top w:val="single" w:color="auto" w:sz="4" w:space="0"/>
              <w:left w:val="nil"/>
              <w:bottom w:val="single" w:color="auto" w:sz="4" w:space="0"/>
              <w:right w:val="single" w:color="auto" w:sz="4" w:space="0"/>
            </w:tcBorders>
            <w:shd w:val="clear" w:color="auto" w:fill="D9D9D9"/>
            <w:vAlign w:val="center"/>
          </w:tcPr>
          <w:p w14:paraId="244D1396">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指标要求</w:t>
            </w:r>
          </w:p>
        </w:tc>
        <w:tc>
          <w:tcPr>
            <w:tcW w:w="1482" w:type="dxa"/>
            <w:tcBorders>
              <w:top w:val="single" w:color="auto" w:sz="4" w:space="0"/>
              <w:left w:val="nil"/>
              <w:bottom w:val="single" w:color="auto" w:sz="4" w:space="0"/>
              <w:right w:val="single" w:color="auto" w:sz="4" w:space="0"/>
            </w:tcBorders>
            <w:shd w:val="clear" w:color="auto" w:fill="D9D9D9"/>
            <w:vAlign w:val="center"/>
          </w:tcPr>
          <w:p w14:paraId="1C5CED8C">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5DA1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trPr>
        <w:tc>
          <w:tcPr>
            <w:tcW w:w="630" w:type="dxa"/>
            <w:tcBorders>
              <w:top w:val="single" w:color="auto" w:sz="4" w:space="0"/>
              <w:left w:val="single" w:color="auto" w:sz="4" w:space="0"/>
              <w:bottom w:val="single" w:color="auto" w:sz="4" w:space="0"/>
              <w:right w:val="single" w:color="auto" w:sz="4" w:space="0"/>
            </w:tcBorders>
            <w:vAlign w:val="center"/>
          </w:tcPr>
          <w:p w14:paraId="3214A303">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1</w:t>
            </w:r>
          </w:p>
        </w:tc>
        <w:tc>
          <w:tcPr>
            <w:tcW w:w="816" w:type="dxa"/>
            <w:vMerge w:val="restart"/>
            <w:tcBorders>
              <w:top w:val="single" w:color="auto" w:sz="4" w:space="0"/>
              <w:left w:val="nil"/>
              <w:right w:val="single" w:color="auto" w:sz="4" w:space="0"/>
            </w:tcBorders>
            <w:vAlign w:val="center"/>
          </w:tcPr>
          <w:p w14:paraId="6ECF4444">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r>
              <w:rPr>
                <w:rFonts w:hint="eastAsia" w:asciiTheme="minorEastAsia" w:hAnsiTheme="minorEastAsia" w:eastAsiaTheme="minorEastAsia" w:cstheme="minorEastAsia"/>
                <w:kern w:val="0"/>
                <w:sz w:val="21"/>
                <w:szCs w:val="21"/>
                <w:highlight w:val="none"/>
              </w:rPr>
              <w:t>★</w:t>
            </w:r>
          </w:p>
        </w:tc>
        <w:tc>
          <w:tcPr>
            <w:tcW w:w="875" w:type="dxa"/>
            <w:tcBorders>
              <w:top w:val="single" w:color="auto" w:sz="4" w:space="0"/>
              <w:left w:val="nil"/>
              <w:bottom w:val="single" w:color="auto" w:sz="4" w:space="0"/>
              <w:right w:val="single" w:color="auto" w:sz="4" w:space="0"/>
            </w:tcBorders>
            <w:vAlign w:val="center"/>
          </w:tcPr>
          <w:p w14:paraId="59F18F4F">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陶瓷防静电活动地板</w:t>
            </w:r>
          </w:p>
        </w:tc>
        <w:tc>
          <w:tcPr>
            <w:tcW w:w="4594" w:type="dxa"/>
            <w:tcBorders>
              <w:top w:val="single" w:color="auto" w:sz="4" w:space="0"/>
              <w:left w:val="nil"/>
              <w:bottom w:val="single" w:color="auto" w:sz="4" w:space="0"/>
              <w:right w:val="single" w:color="auto" w:sz="4" w:space="0"/>
            </w:tcBorders>
            <w:vAlign w:val="center"/>
          </w:tcPr>
          <w:p w14:paraId="69DE177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全钢陶瓷防静电活动地板</w:t>
            </w:r>
          </w:p>
          <w:p w14:paraId="3109C11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1.导电性能： 表面电阻 106— 109欧姆；体电阻率 107— 1010欧姆/厘米</w:t>
            </w:r>
          </w:p>
          <w:p w14:paraId="1E441B4E">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2.耐烟火性能：不小于1600 ℃</w:t>
            </w:r>
          </w:p>
          <w:p w14:paraId="205AABC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3.耐磨性： 4级/6000转</w:t>
            </w:r>
          </w:p>
          <w:p w14:paraId="4119221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4.耐极冷极热性：15℃－105℃</w:t>
            </w:r>
          </w:p>
          <w:p w14:paraId="5C4F462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5.经10次急冷热循环不出现明显裂纹</w:t>
            </w:r>
          </w:p>
          <w:p w14:paraId="206300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6.断裂模数：最小值不小于27Mpa</w:t>
            </w:r>
          </w:p>
          <w:p w14:paraId="448520F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翘曲度： ±0.5%</w:t>
            </w:r>
          </w:p>
          <w:p w14:paraId="7F543BF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7.地板规格： 600×600×40mm</w:t>
            </w:r>
          </w:p>
        </w:tc>
        <w:tc>
          <w:tcPr>
            <w:tcW w:w="1482" w:type="dxa"/>
            <w:vMerge w:val="restart"/>
            <w:tcBorders>
              <w:top w:val="single" w:color="auto" w:sz="4" w:space="0"/>
              <w:left w:val="nil"/>
              <w:right w:val="single" w:color="auto" w:sz="4" w:space="0"/>
            </w:tcBorders>
            <w:vAlign w:val="center"/>
          </w:tcPr>
          <w:p w14:paraId="1A03FF7B">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sz w:val="21"/>
                <w:szCs w:val="21"/>
                <w:highlight w:val="none"/>
                <w:shd w:val="clear" w:color="auto" w:fill="FFFFFF"/>
              </w:rPr>
              <w:t>是</w:t>
            </w:r>
          </w:p>
          <w:p w14:paraId="31C576A0">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提供加盖</w:t>
            </w:r>
            <w:r>
              <w:rPr>
                <w:rFonts w:hint="eastAsia" w:asciiTheme="minorEastAsia" w:hAnsiTheme="minorEastAsia" w:eastAsiaTheme="minorEastAsia" w:cstheme="minorEastAsia"/>
                <w:color w:val="auto"/>
                <w:sz w:val="21"/>
                <w:szCs w:val="21"/>
                <w:highlight w:val="none"/>
                <w:lang w:eastAsia="zh-CN"/>
              </w:rPr>
              <w:t>响应人</w:t>
            </w:r>
            <w:r>
              <w:rPr>
                <w:rFonts w:hint="eastAsia" w:asciiTheme="minorEastAsia" w:hAnsiTheme="minorEastAsia" w:eastAsiaTheme="minorEastAsia" w:cstheme="minorEastAsia"/>
                <w:color w:val="auto"/>
                <w:sz w:val="21"/>
                <w:szCs w:val="21"/>
                <w:highlight w:val="none"/>
              </w:rPr>
              <w:t>公章的承诺函</w:t>
            </w:r>
            <w:r>
              <w:rPr>
                <w:rFonts w:hint="eastAsia" w:asciiTheme="minorEastAsia" w:hAnsiTheme="minorEastAsia" w:eastAsiaTheme="minorEastAsia" w:cstheme="minorEastAsia"/>
                <w:bCs/>
                <w:sz w:val="21"/>
                <w:szCs w:val="21"/>
                <w:highlight w:val="none"/>
                <w:shd w:val="clear" w:color="auto" w:fill="FFFFFF"/>
              </w:rPr>
              <w:t>）</w:t>
            </w:r>
          </w:p>
        </w:tc>
      </w:tr>
      <w:tr w14:paraId="2228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trPr>
        <w:tc>
          <w:tcPr>
            <w:tcW w:w="630" w:type="dxa"/>
            <w:tcBorders>
              <w:top w:val="single" w:color="auto" w:sz="4" w:space="0"/>
              <w:left w:val="single" w:color="auto" w:sz="4" w:space="0"/>
              <w:bottom w:val="single" w:color="auto" w:sz="4" w:space="0"/>
              <w:right w:val="single" w:color="auto" w:sz="4" w:space="0"/>
            </w:tcBorders>
            <w:vAlign w:val="center"/>
          </w:tcPr>
          <w:p w14:paraId="646A3189">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2</w:t>
            </w:r>
          </w:p>
        </w:tc>
        <w:tc>
          <w:tcPr>
            <w:tcW w:w="816" w:type="dxa"/>
            <w:vMerge w:val="continue"/>
            <w:tcBorders>
              <w:left w:val="nil"/>
              <w:right w:val="single" w:color="auto" w:sz="4" w:space="0"/>
            </w:tcBorders>
            <w:vAlign w:val="center"/>
          </w:tcPr>
          <w:p w14:paraId="66D3C2D5">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6F8AC0F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窗帘</w:t>
            </w:r>
          </w:p>
        </w:tc>
        <w:tc>
          <w:tcPr>
            <w:tcW w:w="4594" w:type="dxa"/>
            <w:tcBorders>
              <w:top w:val="single" w:color="auto" w:sz="4" w:space="0"/>
              <w:left w:val="nil"/>
              <w:bottom w:val="single" w:color="auto" w:sz="4" w:space="0"/>
              <w:right w:val="single" w:color="auto" w:sz="4" w:space="0"/>
            </w:tcBorders>
            <w:vAlign w:val="center"/>
          </w:tcPr>
          <w:p w14:paraId="15CF083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1、甲醛含量：≤20mg/kg；</w:t>
            </w:r>
          </w:p>
          <w:p w14:paraId="088394C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2、异味：无；</w:t>
            </w:r>
          </w:p>
          <w:p w14:paraId="5C740C5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3、PH 值 4.0－9.0；</w:t>
            </w:r>
          </w:p>
          <w:p w14:paraId="2AE8E65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4、可分解芳香烃胺染料≤30mg/kg；</w:t>
            </w:r>
          </w:p>
          <w:p w14:paraId="61B924B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5、耐皂洗色牢度：变色≥4 级，沾色≥4 级；</w:t>
            </w:r>
          </w:p>
          <w:p w14:paraId="2B2255D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6、耐摩擦色牢度：干摩擦≥4 级；</w:t>
            </w:r>
          </w:p>
          <w:p w14:paraId="3589EAC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7、耐人造光色牢度：≥4 级；</w:t>
            </w:r>
          </w:p>
          <w:p w14:paraId="6D7B027F">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8、防火等级符合以下要求：</w:t>
            </w:r>
          </w:p>
          <w:p w14:paraId="2053343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①.续燃时间: (经向、纬向)≤5s；</w:t>
            </w:r>
          </w:p>
          <w:p w14:paraId="4EFF4B4F">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②.阴燃时间: (经向、纬向)≤5s； ③.损毁长度: (经向、纬向)≤150mm；</w:t>
            </w:r>
          </w:p>
          <w:p w14:paraId="2840A25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布料功能：</w:t>
            </w:r>
          </w:p>
          <w:p w14:paraId="39FC4D7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1、使用材料要求，防污、防霉、防油渍、耐脏、易清洗、不易藏污垢、色彩柔和、抗变形处理、抗静电整理；</w:t>
            </w:r>
          </w:p>
          <w:p w14:paraId="763DD7FD">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2、不起皱、不褪色、垂感好、无异味；</w:t>
            </w:r>
          </w:p>
          <w:p w14:paraId="2CCA057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3、使用带遮光性高精密窗帘面料，表面不反光，三层纱线纺织，有效隔绝自然光；</w:t>
            </w:r>
          </w:p>
          <w:p w14:paraId="5F620DE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4、窗帘覆盖面应大于窗口见光洞口；</w:t>
            </w:r>
          </w:p>
        </w:tc>
        <w:tc>
          <w:tcPr>
            <w:tcW w:w="1482" w:type="dxa"/>
            <w:vMerge w:val="continue"/>
            <w:tcBorders>
              <w:left w:val="nil"/>
              <w:right w:val="single" w:color="auto" w:sz="4" w:space="0"/>
            </w:tcBorders>
            <w:vAlign w:val="center"/>
          </w:tcPr>
          <w:p w14:paraId="0919C18A">
            <w:pPr>
              <w:spacing w:line="560" w:lineRule="exact"/>
              <w:rPr>
                <w:rFonts w:hint="eastAsia" w:asciiTheme="minorEastAsia" w:hAnsiTheme="minorEastAsia" w:eastAsiaTheme="minorEastAsia" w:cstheme="minorEastAsia"/>
                <w:color w:val="auto"/>
                <w:sz w:val="21"/>
                <w:szCs w:val="21"/>
                <w:highlight w:val="none"/>
                <w:lang w:eastAsia="zh-CN"/>
              </w:rPr>
            </w:pPr>
          </w:p>
        </w:tc>
      </w:tr>
      <w:tr w14:paraId="6F19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630" w:type="dxa"/>
            <w:tcBorders>
              <w:top w:val="single" w:color="auto" w:sz="4" w:space="0"/>
              <w:left w:val="single" w:color="auto" w:sz="4" w:space="0"/>
              <w:bottom w:val="single" w:color="auto" w:sz="4" w:space="0"/>
              <w:right w:val="single" w:color="auto" w:sz="4" w:space="0"/>
            </w:tcBorders>
            <w:vAlign w:val="center"/>
          </w:tcPr>
          <w:p w14:paraId="260D8B80">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3</w:t>
            </w:r>
          </w:p>
        </w:tc>
        <w:tc>
          <w:tcPr>
            <w:tcW w:w="816" w:type="dxa"/>
            <w:vMerge w:val="continue"/>
            <w:tcBorders>
              <w:left w:val="nil"/>
              <w:right w:val="single" w:color="auto" w:sz="4" w:space="0"/>
            </w:tcBorders>
            <w:vAlign w:val="center"/>
          </w:tcPr>
          <w:p w14:paraId="1737E7E9">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667ED91A">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铝合金窗</w:t>
            </w:r>
          </w:p>
        </w:tc>
        <w:tc>
          <w:tcPr>
            <w:tcW w:w="4594" w:type="dxa"/>
            <w:tcBorders>
              <w:top w:val="single" w:color="auto" w:sz="4" w:space="0"/>
              <w:left w:val="nil"/>
              <w:bottom w:val="single" w:color="auto" w:sz="4" w:space="0"/>
              <w:right w:val="single" w:color="auto" w:sz="4" w:space="0"/>
            </w:tcBorders>
            <w:vAlign w:val="center"/>
          </w:tcPr>
          <w:p w14:paraId="3D2FEF0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1.框、扇材质:70系列推拉铝合金窗</w:t>
            </w:r>
          </w:p>
          <w:p w14:paraId="02E98F6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2.玻璃品种、厚度:6mm高透光Low-E+12mm空气+6(内外浅灰)</w:t>
            </w:r>
          </w:p>
        </w:tc>
        <w:tc>
          <w:tcPr>
            <w:tcW w:w="1482" w:type="dxa"/>
            <w:vMerge w:val="continue"/>
            <w:tcBorders>
              <w:left w:val="nil"/>
              <w:right w:val="single" w:color="auto" w:sz="4" w:space="0"/>
            </w:tcBorders>
            <w:vAlign w:val="center"/>
          </w:tcPr>
          <w:p w14:paraId="14FCF8AC">
            <w:pPr>
              <w:spacing w:line="560" w:lineRule="exact"/>
              <w:rPr>
                <w:rFonts w:hint="eastAsia" w:asciiTheme="minorEastAsia" w:hAnsiTheme="minorEastAsia" w:eastAsiaTheme="minorEastAsia" w:cstheme="minorEastAsia"/>
                <w:color w:val="auto"/>
                <w:sz w:val="21"/>
                <w:szCs w:val="21"/>
                <w:highlight w:val="none"/>
                <w:lang w:eastAsia="zh-CN"/>
              </w:rPr>
            </w:pPr>
          </w:p>
        </w:tc>
      </w:tr>
      <w:tr w14:paraId="2207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630" w:type="dxa"/>
            <w:tcBorders>
              <w:top w:val="single" w:color="auto" w:sz="4" w:space="0"/>
              <w:left w:val="single" w:color="auto" w:sz="4" w:space="0"/>
              <w:bottom w:val="single" w:color="auto" w:sz="4" w:space="0"/>
              <w:right w:val="single" w:color="auto" w:sz="4" w:space="0"/>
            </w:tcBorders>
            <w:vAlign w:val="center"/>
          </w:tcPr>
          <w:p w14:paraId="55CB7E49">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4</w:t>
            </w:r>
          </w:p>
        </w:tc>
        <w:tc>
          <w:tcPr>
            <w:tcW w:w="816" w:type="dxa"/>
            <w:vMerge w:val="continue"/>
            <w:tcBorders>
              <w:left w:val="nil"/>
              <w:right w:val="single" w:color="auto" w:sz="4" w:space="0"/>
            </w:tcBorders>
            <w:vAlign w:val="center"/>
          </w:tcPr>
          <w:p w14:paraId="402C92A6">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1D45AB5B">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UTP Cat6网线</w:t>
            </w:r>
          </w:p>
        </w:tc>
        <w:tc>
          <w:tcPr>
            <w:tcW w:w="4594" w:type="dxa"/>
            <w:tcBorders>
              <w:top w:val="single" w:color="auto" w:sz="4" w:space="0"/>
              <w:left w:val="nil"/>
              <w:bottom w:val="single" w:color="auto" w:sz="4" w:space="0"/>
              <w:right w:val="single" w:color="auto" w:sz="4" w:space="0"/>
            </w:tcBorders>
            <w:vAlign w:val="center"/>
          </w:tcPr>
          <w:p w14:paraId="1A80816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铜芯直径不低于0.57mm</w:t>
            </w:r>
          </w:p>
        </w:tc>
        <w:tc>
          <w:tcPr>
            <w:tcW w:w="1482" w:type="dxa"/>
            <w:vMerge w:val="continue"/>
            <w:tcBorders>
              <w:left w:val="nil"/>
              <w:right w:val="single" w:color="auto" w:sz="4" w:space="0"/>
            </w:tcBorders>
            <w:vAlign w:val="center"/>
          </w:tcPr>
          <w:p w14:paraId="185185ED">
            <w:pPr>
              <w:spacing w:line="560" w:lineRule="exact"/>
              <w:rPr>
                <w:rFonts w:hint="eastAsia" w:asciiTheme="minorEastAsia" w:hAnsiTheme="minorEastAsia" w:eastAsiaTheme="minorEastAsia" w:cstheme="minorEastAsia"/>
                <w:bCs/>
                <w:sz w:val="21"/>
                <w:szCs w:val="21"/>
                <w:highlight w:val="none"/>
                <w:shd w:val="clear" w:color="auto" w:fill="FFFFFF"/>
              </w:rPr>
            </w:pPr>
          </w:p>
        </w:tc>
      </w:tr>
      <w:tr w14:paraId="54C8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trPr>
        <w:tc>
          <w:tcPr>
            <w:tcW w:w="630" w:type="dxa"/>
            <w:tcBorders>
              <w:top w:val="single" w:color="auto" w:sz="4" w:space="0"/>
              <w:left w:val="single" w:color="auto" w:sz="4" w:space="0"/>
              <w:bottom w:val="single" w:color="auto" w:sz="4" w:space="0"/>
              <w:right w:val="single" w:color="auto" w:sz="4" w:space="0"/>
            </w:tcBorders>
            <w:vAlign w:val="center"/>
          </w:tcPr>
          <w:p w14:paraId="541D8F2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5</w:t>
            </w:r>
          </w:p>
        </w:tc>
        <w:tc>
          <w:tcPr>
            <w:tcW w:w="816" w:type="dxa"/>
            <w:vMerge w:val="continue"/>
            <w:tcBorders>
              <w:left w:val="nil"/>
              <w:right w:val="single" w:color="auto" w:sz="4" w:space="0"/>
            </w:tcBorders>
            <w:vAlign w:val="center"/>
          </w:tcPr>
          <w:p w14:paraId="1042DF30">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48DAD47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桌面网络插座</w:t>
            </w:r>
          </w:p>
        </w:tc>
        <w:tc>
          <w:tcPr>
            <w:tcW w:w="4594" w:type="dxa"/>
            <w:tcBorders>
              <w:top w:val="single" w:color="auto" w:sz="4" w:space="0"/>
              <w:left w:val="nil"/>
              <w:bottom w:val="single" w:color="auto" w:sz="4" w:space="0"/>
              <w:right w:val="single" w:color="auto" w:sz="4" w:space="0"/>
            </w:tcBorders>
            <w:vAlign w:val="center"/>
          </w:tcPr>
          <w:p w14:paraId="4216F34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六类千兆网络模块插座，单口，86*86mm</w:t>
            </w:r>
          </w:p>
        </w:tc>
        <w:tc>
          <w:tcPr>
            <w:tcW w:w="1482" w:type="dxa"/>
            <w:vMerge w:val="continue"/>
            <w:tcBorders>
              <w:left w:val="nil"/>
              <w:right w:val="single" w:color="auto" w:sz="4" w:space="0"/>
            </w:tcBorders>
          </w:tcPr>
          <w:p w14:paraId="4138B8F6">
            <w:pPr>
              <w:spacing w:line="560" w:lineRule="exact"/>
              <w:rPr>
                <w:rFonts w:hint="eastAsia" w:asciiTheme="minorEastAsia" w:hAnsiTheme="minorEastAsia" w:eastAsiaTheme="minorEastAsia" w:cstheme="minorEastAsia"/>
                <w:bCs/>
                <w:sz w:val="21"/>
                <w:szCs w:val="21"/>
                <w:highlight w:val="none"/>
                <w:shd w:val="clear" w:color="auto" w:fill="FFFFFF"/>
              </w:rPr>
            </w:pPr>
          </w:p>
        </w:tc>
      </w:tr>
    </w:tbl>
    <w:p w14:paraId="1A49E028">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四、项目执行及要求</w:t>
      </w:r>
    </w:p>
    <w:p w14:paraId="7A2C6424">
      <w:pPr>
        <w:widowControl/>
        <w:adjustRightInd w:val="0"/>
        <w:snapToGrid w:val="0"/>
        <w:spacing w:line="400" w:lineRule="exact"/>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（一）服务要求及标准</w:t>
      </w:r>
    </w:p>
    <w:tbl>
      <w:tblPr>
        <w:tblStyle w:val="17"/>
        <w:tblpPr w:leftFromText="180" w:rightFromText="180" w:vertAnchor="text" w:tblpY="1"/>
        <w:tblOverlap w:val="never"/>
        <w:tblW w:w="8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878"/>
        <w:gridCol w:w="888"/>
        <w:gridCol w:w="4310"/>
        <w:gridCol w:w="1570"/>
      </w:tblGrid>
      <w:tr w14:paraId="156D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72"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3A65C87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87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084E9748">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88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0EB7782A">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重要性</w:t>
            </w:r>
          </w:p>
        </w:tc>
        <w:tc>
          <w:tcPr>
            <w:tcW w:w="431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5B1DBE4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详细说明</w:t>
            </w:r>
          </w:p>
        </w:tc>
        <w:tc>
          <w:tcPr>
            <w:tcW w:w="157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2E45BD02">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证明材料要求</w:t>
            </w:r>
          </w:p>
        </w:tc>
      </w:tr>
      <w:tr w14:paraId="7A2A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772" w:type="dxa"/>
            <w:tcBorders>
              <w:top w:val="single" w:color="auto" w:sz="4" w:space="0"/>
              <w:left w:val="single" w:color="auto" w:sz="4" w:space="0"/>
              <w:bottom w:val="single" w:color="auto" w:sz="4" w:space="0"/>
              <w:right w:val="single" w:color="auto" w:sz="4" w:space="0"/>
            </w:tcBorders>
            <w:vAlign w:val="center"/>
          </w:tcPr>
          <w:p w14:paraId="399A9FEF">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630D2C5A">
            <w:pPr>
              <w:ind w:left="105" w:leftChar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时间要求</w:t>
            </w:r>
          </w:p>
        </w:tc>
        <w:tc>
          <w:tcPr>
            <w:tcW w:w="888" w:type="dxa"/>
            <w:vMerge w:val="restart"/>
            <w:tcBorders>
              <w:top w:val="single" w:color="auto" w:sz="4" w:space="0"/>
              <w:left w:val="single" w:color="auto" w:sz="4" w:space="0"/>
              <w:right w:val="single" w:color="auto" w:sz="4" w:space="0"/>
            </w:tcBorders>
            <w:vAlign w:val="center"/>
          </w:tcPr>
          <w:p w14:paraId="484D5C3F">
            <w:pPr>
              <w:keepNext/>
              <w:keepLines/>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4310" w:type="dxa"/>
            <w:tcBorders>
              <w:top w:val="single" w:color="auto" w:sz="4" w:space="0"/>
              <w:left w:val="single" w:color="auto" w:sz="4" w:space="0"/>
              <w:bottom w:val="single" w:color="auto" w:sz="4" w:space="0"/>
              <w:right w:val="single" w:color="auto" w:sz="4" w:space="0"/>
            </w:tcBorders>
            <w:vAlign w:val="center"/>
          </w:tcPr>
          <w:p w14:paraId="13952081">
            <w:pPr>
              <w:ind w:left="240" w:hanging="210" w:hangingChars="1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合同签订后</w:t>
            </w:r>
            <w:r>
              <w:rPr>
                <w:rFonts w:hint="eastAsia" w:asciiTheme="minorEastAsia" w:hAnsiTheme="minorEastAsia" w:eastAsiaTheme="minorEastAsia" w:cstheme="minorEastAsia"/>
                <w:sz w:val="21"/>
                <w:szCs w:val="21"/>
                <w:highlight w:val="none"/>
                <w:lang w:eastAsia="zh-CN"/>
              </w:rPr>
              <w:t>，接到甲方书面开工通知后</w:t>
            </w:r>
            <w:r>
              <w:rPr>
                <w:rFonts w:hint="eastAsia" w:asciiTheme="minorEastAsia" w:hAnsiTheme="minorEastAsia" w:eastAsiaTheme="minorEastAsia" w:cstheme="minorEastAsia"/>
                <w:color w:val="000000"/>
                <w:sz w:val="21"/>
                <w:szCs w:val="21"/>
                <w:highlight w:val="none"/>
                <w:u w:val="single"/>
                <w:lang w:val="en-US" w:eastAsia="zh-CN"/>
              </w:rPr>
              <w:t xml:space="preserve"> 45 </w:t>
            </w:r>
            <w:r>
              <w:rPr>
                <w:rFonts w:hint="eastAsia" w:asciiTheme="minorEastAsia" w:hAnsiTheme="minorEastAsia" w:eastAsiaTheme="minorEastAsia" w:cstheme="minorEastAsia"/>
                <w:sz w:val="21"/>
                <w:szCs w:val="21"/>
                <w:highlight w:val="none"/>
              </w:rPr>
              <w:t>个日历天内完工</w:t>
            </w:r>
            <w:r>
              <w:rPr>
                <w:rFonts w:hint="eastAsia" w:asciiTheme="minorEastAsia" w:hAnsiTheme="minorEastAsia" w:eastAsiaTheme="minorEastAsia" w:cstheme="minorEastAsia"/>
                <w:sz w:val="21"/>
                <w:szCs w:val="21"/>
                <w:highlight w:val="none"/>
                <w:lang w:eastAsia="zh-CN"/>
              </w:rPr>
              <w:t>。</w:t>
            </w:r>
          </w:p>
        </w:tc>
        <w:tc>
          <w:tcPr>
            <w:tcW w:w="1570" w:type="dxa"/>
            <w:vMerge w:val="restart"/>
            <w:tcBorders>
              <w:top w:val="single" w:color="auto" w:sz="4" w:space="0"/>
              <w:left w:val="single" w:color="auto" w:sz="4" w:space="0"/>
              <w:right w:val="single" w:color="auto" w:sz="4" w:space="0"/>
            </w:tcBorders>
            <w:vAlign w:val="center"/>
          </w:tcPr>
          <w:p w14:paraId="221AE1DC">
            <w:pPr>
              <w:jc w:val="cente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是</w:t>
            </w:r>
          </w:p>
          <w:p w14:paraId="786FE5CC">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Cs/>
                <w:sz w:val="21"/>
                <w:szCs w:val="21"/>
                <w:highlight w:val="none"/>
              </w:rPr>
              <w:t>（提供加盖</w:t>
            </w:r>
            <w:r>
              <w:rPr>
                <w:rFonts w:hint="eastAsia" w:asciiTheme="minorEastAsia" w:hAnsiTheme="minorEastAsia" w:eastAsiaTheme="minorEastAsia" w:cstheme="minorEastAsia"/>
                <w:bCs/>
                <w:sz w:val="21"/>
                <w:szCs w:val="21"/>
                <w:highlight w:val="none"/>
                <w:lang w:eastAsia="zh-CN"/>
              </w:rPr>
              <w:t>响应人</w:t>
            </w:r>
            <w:r>
              <w:rPr>
                <w:rFonts w:hint="eastAsia" w:asciiTheme="minorEastAsia" w:hAnsiTheme="minorEastAsia" w:eastAsiaTheme="minorEastAsia" w:cstheme="minorEastAsia"/>
                <w:bCs/>
                <w:sz w:val="21"/>
                <w:szCs w:val="21"/>
                <w:highlight w:val="none"/>
              </w:rPr>
              <w:t>公章的承诺函）</w:t>
            </w:r>
          </w:p>
        </w:tc>
      </w:tr>
      <w:tr w14:paraId="711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7AB1712">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31045838">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售后</w:t>
            </w:r>
          </w:p>
          <w:p w14:paraId="5DCE1368">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服务</w:t>
            </w:r>
          </w:p>
        </w:tc>
        <w:tc>
          <w:tcPr>
            <w:tcW w:w="888" w:type="dxa"/>
            <w:vMerge w:val="continue"/>
            <w:tcBorders>
              <w:left w:val="single" w:color="auto" w:sz="4" w:space="0"/>
              <w:right w:val="single" w:color="auto" w:sz="4" w:space="0"/>
            </w:tcBorders>
            <w:vAlign w:val="center"/>
          </w:tcPr>
          <w:p w14:paraId="574D6824">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7C256B63">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质保期内，</w:t>
            </w:r>
            <w:r>
              <w:rPr>
                <w:rFonts w:hint="eastAsia" w:asciiTheme="minorEastAsia" w:hAnsiTheme="minorEastAsia" w:eastAsiaTheme="minorEastAsia" w:cstheme="minorEastAsia"/>
                <w:sz w:val="21"/>
                <w:szCs w:val="21"/>
                <w:highlight w:val="none"/>
                <w:lang w:eastAsia="zh-CN"/>
              </w:rPr>
              <w:t>响应人</w:t>
            </w:r>
            <w:r>
              <w:rPr>
                <w:rFonts w:hint="eastAsia" w:asciiTheme="minorEastAsia" w:hAnsiTheme="minorEastAsia" w:eastAsiaTheme="minorEastAsia" w:cstheme="minorEastAsia"/>
                <w:sz w:val="21"/>
                <w:szCs w:val="21"/>
                <w:highlight w:val="none"/>
              </w:rPr>
              <w:t>提供7*24小时服务保障，电话报修后4小时上门服务，12小时内排除故障。</w:t>
            </w:r>
          </w:p>
        </w:tc>
        <w:tc>
          <w:tcPr>
            <w:tcW w:w="1570" w:type="dxa"/>
            <w:vMerge w:val="continue"/>
            <w:tcBorders>
              <w:left w:val="single" w:color="auto" w:sz="4" w:space="0"/>
              <w:right w:val="single" w:color="auto" w:sz="4" w:space="0"/>
            </w:tcBorders>
            <w:vAlign w:val="center"/>
          </w:tcPr>
          <w:p w14:paraId="4D2DAF3C">
            <w:pPr>
              <w:jc w:val="center"/>
              <w:rPr>
                <w:rFonts w:hint="eastAsia" w:asciiTheme="minorEastAsia" w:hAnsiTheme="minorEastAsia" w:eastAsiaTheme="minorEastAsia" w:cstheme="minorEastAsia"/>
                <w:b/>
                <w:sz w:val="21"/>
                <w:szCs w:val="21"/>
                <w:highlight w:val="none"/>
              </w:rPr>
            </w:pPr>
          </w:p>
        </w:tc>
      </w:tr>
      <w:tr w14:paraId="3139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4FB1BA8">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5134241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w:t>
            </w:r>
          </w:p>
          <w:p w14:paraId="078A341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要求</w:t>
            </w:r>
          </w:p>
        </w:tc>
        <w:tc>
          <w:tcPr>
            <w:tcW w:w="888" w:type="dxa"/>
            <w:vMerge w:val="continue"/>
            <w:tcBorders>
              <w:left w:val="single" w:color="auto" w:sz="4" w:space="0"/>
              <w:right w:val="single" w:color="auto" w:sz="4" w:space="0"/>
            </w:tcBorders>
            <w:vAlign w:val="center"/>
          </w:tcPr>
          <w:p w14:paraId="78FAD572">
            <w:pPr>
              <w:jc w:val="center"/>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0A24B081">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质保期不少于</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年</w:t>
            </w:r>
          </w:p>
        </w:tc>
        <w:tc>
          <w:tcPr>
            <w:tcW w:w="1570" w:type="dxa"/>
            <w:vMerge w:val="continue"/>
            <w:tcBorders>
              <w:left w:val="single" w:color="auto" w:sz="4" w:space="0"/>
              <w:right w:val="single" w:color="auto" w:sz="4" w:space="0"/>
            </w:tcBorders>
            <w:vAlign w:val="center"/>
          </w:tcPr>
          <w:p w14:paraId="19C8F363">
            <w:pPr>
              <w:jc w:val="center"/>
              <w:rPr>
                <w:rFonts w:hint="eastAsia" w:asciiTheme="minorEastAsia" w:hAnsiTheme="minorEastAsia" w:eastAsiaTheme="minorEastAsia" w:cstheme="minorEastAsia"/>
                <w:b/>
                <w:sz w:val="21"/>
                <w:szCs w:val="21"/>
                <w:highlight w:val="none"/>
              </w:rPr>
            </w:pPr>
          </w:p>
        </w:tc>
      </w:tr>
      <w:tr w14:paraId="4A36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3DF4577E">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48BFB450">
            <w:pPr>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供货要求</w:t>
            </w:r>
          </w:p>
        </w:tc>
        <w:tc>
          <w:tcPr>
            <w:tcW w:w="888" w:type="dxa"/>
            <w:vMerge w:val="continue"/>
            <w:tcBorders>
              <w:left w:val="single" w:color="auto" w:sz="4" w:space="0"/>
              <w:bottom w:val="single" w:color="auto" w:sz="4" w:space="0"/>
              <w:right w:val="single" w:color="auto" w:sz="4" w:space="0"/>
            </w:tcBorders>
            <w:vAlign w:val="center"/>
          </w:tcPr>
          <w:p w14:paraId="772E2E91">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639BADF3">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设备进场后由甲方、乙方、监理方确认后方可使用。</w:t>
            </w:r>
          </w:p>
        </w:tc>
        <w:tc>
          <w:tcPr>
            <w:tcW w:w="1570" w:type="dxa"/>
            <w:vMerge w:val="continue"/>
            <w:tcBorders>
              <w:left w:val="single" w:color="auto" w:sz="4" w:space="0"/>
              <w:bottom w:val="single" w:color="auto" w:sz="4" w:space="0"/>
              <w:right w:val="single" w:color="auto" w:sz="4" w:space="0"/>
            </w:tcBorders>
            <w:vAlign w:val="center"/>
          </w:tcPr>
          <w:p w14:paraId="6618F2A7">
            <w:pPr>
              <w:jc w:val="center"/>
              <w:rPr>
                <w:rFonts w:hint="eastAsia" w:asciiTheme="minorEastAsia" w:hAnsiTheme="minorEastAsia" w:eastAsiaTheme="minorEastAsia" w:cstheme="minorEastAsia"/>
                <w:sz w:val="21"/>
                <w:szCs w:val="21"/>
                <w:highlight w:val="none"/>
              </w:rPr>
            </w:pPr>
          </w:p>
        </w:tc>
      </w:tr>
      <w:tr w14:paraId="405E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FFBD63A">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35F3E79B">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材料进场要求</w:t>
            </w:r>
          </w:p>
        </w:tc>
        <w:tc>
          <w:tcPr>
            <w:tcW w:w="888" w:type="dxa"/>
            <w:vMerge w:val="continue"/>
            <w:tcBorders>
              <w:left w:val="single" w:color="auto" w:sz="4" w:space="0"/>
              <w:bottom w:val="single" w:color="auto" w:sz="4" w:space="0"/>
              <w:right w:val="single" w:color="auto" w:sz="4" w:space="0"/>
            </w:tcBorders>
            <w:vAlign w:val="center"/>
          </w:tcPr>
          <w:p w14:paraId="502D7F52">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514CA1B5">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材料进场由甲方、乙方、监理方确认后方可使用。</w:t>
            </w:r>
          </w:p>
        </w:tc>
        <w:tc>
          <w:tcPr>
            <w:tcW w:w="1570" w:type="dxa"/>
            <w:vMerge w:val="continue"/>
            <w:tcBorders>
              <w:left w:val="single" w:color="auto" w:sz="4" w:space="0"/>
              <w:bottom w:val="single" w:color="auto" w:sz="4" w:space="0"/>
              <w:right w:val="single" w:color="auto" w:sz="4" w:space="0"/>
            </w:tcBorders>
            <w:vAlign w:val="center"/>
          </w:tcPr>
          <w:p w14:paraId="74734B87">
            <w:pPr>
              <w:jc w:val="center"/>
              <w:rPr>
                <w:rFonts w:hint="eastAsia" w:asciiTheme="minorEastAsia" w:hAnsiTheme="minorEastAsia" w:eastAsiaTheme="minorEastAsia" w:cstheme="minorEastAsia"/>
                <w:sz w:val="21"/>
                <w:szCs w:val="21"/>
                <w:highlight w:val="none"/>
              </w:rPr>
            </w:pPr>
          </w:p>
        </w:tc>
      </w:tr>
      <w:tr w14:paraId="3A0F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46516EC0">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5E79487B">
            <w:pPr>
              <w:jc w:val="center"/>
              <w:rPr>
                <w:rFonts w:hint="eastAsia" w:asciiTheme="minorEastAsia" w:hAnsiTheme="minorEastAsia" w:eastAsiaTheme="minorEastAsia" w:cstheme="minorEastAsia"/>
                <w:sz w:val="21"/>
                <w:szCs w:val="21"/>
                <w:highlight w:val="yellow"/>
                <w:lang w:val="en-US" w:eastAsia="zh-CN"/>
              </w:rPr>
            </w:pPr>
            <w:r>
              <w:rPr>
                <w:rFonts w:hint="eastAsia" w:asciiTheme="minorEastAsia" w:hAnsiTheme="minorEastAsia" w:eastAsiaTheme="minorEastAsia" w:cstheme="minorEastAsia"/>
                <w:sz w:val="21"/>
                <w:szCs w:val="21"/>
                <w:highlight w:val="yellow"/>
                <w:lang w:val="en-US" w:eastAsia="zh-CN"/>
              </w:rPr>
              <w:t>实施要求</w:t>
            </w:r>
          </w:p>
        </w:tc>
        <w:tc>
          <w:tcPr>
            <w:tcW w:w="888" w:type="dxa"/>
            <w:vMerge w:val="continue"/>
            <w:tcBorders>
              <w:left w:val="single" w:color="auto" w:sz="4" w:space="0"/>
              <w:bottom w:val="single" w:color="auto" w:sz="4" w:space="0"/>
              <w:right w:val="single" w:color="auto" w:sz="4" w:space="0"/>
            </w:tcBorders>
            <w:vAlign w:val="center"/>
          </w:tcPr>
          <w:p w14:paraId="29D6B587">
            <w:pPr>
              <w:keepNext/>
              <w:keepLines/>
              <w:jc w:val="center"/>
              <w:outlineLvl w:val="0"/>
              <w:rPr>
                <w:rFonts w:hint="eastAsia" w:asciiTheme="minorEastAsia" w:hAnsiTheme="minorEastAsia" w:eastAsiaTheme="minorEastAsia" w:cstheme="minorEastAsia"/>
                <w:sz w:val="21"/>
                <w:szCs w:val="21"/>
                <w:highlight w:val="yellow"/>
              </w:rPr>
            </w:pPr>
          </w:p>
        </w:tc>
        <w:tc>
          <w:tcPr>
            <w:tcW w:w="4310" w:type="dxa"/>
            <w:tcBorders>
              <w:top w:val="single" w:color="auto" w:sz="4" w:space="0"/>
              <w:left w:val="single" w:color="auto" w:sz="4" w:space="0"/>
              <w:bottom w:val="single" w:color="auto" w:sz="4" w:space="0"/>
              <w:right w:val="single" w:color="auto" w:sz="4" w:space="0"/>
            </w:tcBorders>
            <w:vAlign w:val="center"/>
          </w:tcPr>
          <w:p w14:paraId="25AE5848">
            <w:pPr>
              <w:jc w:val="left"/>
              <w:rPr>
                <w:rFonts w:hint="eastAsia" w:asciiTheme="minorEastAsia" w:hAnsiTheme="minorEastAsia" w:eastAsiaTheme="minorEastAsia" w:cstheme="minorEastAsia"/>
                <w:sz w:val="21"/>
                <w:szCs w:val="21"/>
                <w:highlight w:val="yellow"/>
                <w:lang w:val="en-US" w:eastAsia="zh-CN"/>
              </w:rPr>
            </w:pPr>
            <w:r>
              <w:rPr>
                <w:rFonts w:hint="eastAsia" w:asciiTheme="minorEastAsia" w:hAnsiTheme="minorEastAsia" w:eastAsiaTheme="minorEastAsia" w:cstheme="minorEastAsia"/>
                <w:sz w:val="21"/>
                <w:szCs w:val="21"/>
                <w:highlight w:val="yellow"/>
                <w:lang w:val="en-US" w:eastAsia="zh-CN"/>
              </w:rPr>
              <w:t>本项目为合同总价包干，合同包干总价包含但不限于：人工费、主材 / 辅材 / 设备采购、运输装卸、安装、深化设计、管线配套、辅料螺丝配件、检测试验、安全文明施工、临时设施、机械租赁、管理费、利润、税金、保险、成品保护、系统调试、验收取证、培训、质保维修、垃圾清运、协调费、措施费、政策性调价、材料涨跌价、工程量清单和施工图内漏项缺项、工艺增加工序等所有为完成本项目全部功能所需的一切费用，</w:t>
            </w:r>
            <w:r>
              <w:rPr>
                <w:rFonts w:hint="eastAsia" w:asciiTheme="minorEastAsia" w:hAnsiTheme="minorEastAsia" w:eastAsiaTheme="minorEastAsia" w:cstheme="minorEastAsia"/>
                <w:sz w:val="21"/>
                <w:szCs w:val="21"/>
                <w:highlight w:val="yellow"/>
                <w:lang w:eastAsia="zh-CN"/>
              </w:rPr>
              <w:t>响应人</w:t>
            </w:r>
            <w:r>
              <w:rPr>
                <w:rFonts w:hint="eastAsia" w:asciiTheme="minorEastAsia" w:hAnsiTheme="minorEastAsia" w:eastAsiaTheme="minorEastAsia" w:cstheme="minorEastAsia"/>
                <w:sz w:val="21"/>
                <w:szCs w:val="21"/>
                <w:highlight w:val="yellow"/>
                <w:lang w:val="en-US" w:eastAsia="zh-CN"/>
              </w:rPr>
              <w:t>无需额外支付任何其他款项。</w:t>
            </w:r>
          </w:p>
        </w:tc>
        <w:tc>
          <w:tcPr>
            <w:tcW w:w="1570" w:type="dxa"/>
            <w:vMerge w:val="continue"/>
            <w:tcBorders>
              <w:left w:val="single" w:color="auto" w:sz="4" w:space="0"/>
              <w:bottom w:val="single" w:color="auto" w:sz="4" w:space="0"/>
              <w:right w:val="single" w:color="auto" w:sz="4" w:space="0"/>
            </w:tcBorders>
            <w:vAlign w:val="center"/>
          </w:tcPr>
          <w:p w14:paraId="6585E130">
            <w:pPr>
              <w:jc w:val="center"/>
              <w:rPr>
                <w:rFonts w:hint="eastAsia" w:asciiTheme="minorEastAsia" w:hAnsiTheme="minorEastAsia" w:eastAsiaTheme="minorEastAsia" w:cstheme="minorEastAsia"/>
                <w:sz w:val="21"/>
                <w:szCs w:val="21"/>
                <w:highlight w:val="none"/>
              </w:rPr>
            </w:pPr>
          </w:p>
        </w:tc>
      </w:tr>
      <w:tr w14:paraId="2D57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2D8B9621">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68FC7B0E">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驻场要求</w:t>
            </w:r>
          </w:p>
        </w:tc>
        <w:tc>
          <w:tcPr>
            <w:tcW w:w="888" w:type="dxa"/>
            <w:vMerge w:val="continue"/>
            <w:tcBorders>
              <w:left w:val="single" w:color="auto" w:sz="4" w:space="0"/>
              <w:bottom w:val="single" w:color="auto" w:sz="4" w:space="0"/>
              <w:right w:val="single" w:color="auto" w:sz="4" w:space="0"/>
            </w:tcBorders>
            <w:vAlign w:val="center"/>
          </w:tcPr>
          <w:p w14:paraId="2217A9D8">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23E2367B">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项目经理、安全员施工期间需要每天现场打卡报到</w:t>
            </w:r>
          </w:p>
        </w:tc>
        <w:tc>
          <w:tcPr>
            <w:tcW w:w="1570" w:type="dxa"/>
            <w:vMerge w:val="continue"/>
            <w:tcBorders>
              <w:left w:val="single" w:color="auto" w:sz="4" w:space="0"/>
              <w:bottom w:val="single" w:color="auto" w:sz="4" w:space="0"/>
              <w:right w:val="single" w:color="auto" w:sz="4" w:space="0"/>
            </w:tcBorders>
            <w:vAlign w:val="center"/>
          </w:tcPr>
          <w:p w14:paraId="37D980FE">
            <w:pPr>
              <w:jc w:val="center"/>
              <w:rPr>
                <w:rFonts w:hint="eastAsia" w:asciiTheme="minorEastAsia" w:hAnsiTheme="minorEastAsia" w:eastAsiaTheme="minorEastAsia" w:cstheme="minorEastAsia"/>
                <w:sz w:val="21"/>
                <w:szCs w:val="21"/>
                <w:highlight w:val="none"/>
              </w:rPr>
            </w:pPr>
          </w:p>
        </w:tc>
      </w:tr>
      <w:tr w14:paraId="266B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trPr>
        <w:tc>
          <w:tcPr>
            <w:tcW w:w="772" w:type="dxa"/>
            <w:tcBorders>
              <w:top w:val="single" w:color="auto" w:sz="4" w:space="0"/>
              <w:left w:val="single" w:color="auto" w:sz="4" w:space="0"/>
              <w:bottom w:val="single" w:color="auto" w:sz="4" w:space="0"/>
              <w:right w:val="single" w:color="auto" w:sz="4" w:space="0"/>
            </w:tcBorders>
            <w:vAlign w:val="center"/>
          </w:tcPr>
          <w:p w14:paraId="3A08F16E">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29DC398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验收</w:t>
            </w:r>
          </w:p>
          <w:p w14:paraId="26D2A18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要求</w:t>
            </w:r>
          </w:p>
        </w:tc>
        <w:tc>
          <w:tcPr>
            <w:tcW w:w="888" w:type="dxa"/>
            <w:vMerge w:val="continue"/>
            <w:tcBorders>
              <w:left w:val="single" w:color="auto" w:sz="4" w:space="0"/>
              <w:bottom w:val="single" w:color="auto" w:sz="4" w:space="0"/>
              <w:right w:val="single" w:color="auto" w:sz="4" w:space="0"/>
            </w:tcBorders>
            <w:vAlign w:val="center"/>
          </w:tcPr>
          <w:p w14:paraId="15E607EC">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22D9F0B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1.到货进场时，须由中标供应商提供产品厂家合格证明</w:t>
            </w:r>
            <w:r>
              <w:rPr>
                <w:rFonts w:hint="eastAsia" w:asciiTheme="minorEastAsia" w:hAnsiTheme="minorEastAsia" w:eastAsiaTheme="minorEastAsia" w:cstheme="minorEastAsia"/>
                <w:sz w:val="21"/>
                <w:szCs w:val="21"/>
                <w:highlight w:val="none"/>
                <w:lang w:eastAsia="zh-CN"/>
              </w:rPr>
              <w:t>或</w:t>
            </w:r>
            <w:r>
              <w:rPr>
                <w:rFonts w:hint="eastAsia" w:asciiTheme="minorEastAsia" w:hAnsiTheme="minorEastAsia" w:eastAsiaTheme="minorEastAsia" w:cstheme="minorEastAsia"/>
                <w:sz w:val="21"/>
                <w:szCs w:val="21"/>
                <w:highlight w:val="none"/>
              </w:rPr>
              <w:t>检测报告，经双方验货合格后方可使用，双方在到货清单签字确认；</w:t>
            </w:r>
          </w:p>
          <w:p w14:paraId="4941E388">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2.货物进场后，须严格按照招标文件及投标文件响应条件，组织施工；</w:t>
            </w:r>
          </w:p>
          <w:p w14:paraId="5253832F">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3.竣工验收，中标供应商须提供工程竣工验收清单、工程施工过程日志等重要验收所需资料；</w:t>
            </w:r>
          </w:p>
          <w:p w14:paraId="277C345B">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4.项目初验合格后，中标供应商在10日内将验收完整资料递交采购人，竣工验收按照学校验收制度执行。</w:t>
            </w:r>
          </w:p>
        </w:tc>
        <w:tc>
          <w:tcPr>
            <w:tcW w:w="1570" w:type="dxa"/>
            <w:vMerge w:val="continue"/>
            <w:tcBorders>
              <w:left w:val="single" w:color="auto" w:sz="4" w:space="0"/>
              <w:bottom w:val="single" w:color="auto" w:sz="4" w:space="0"/>
              <w:right w:val="single" w:color="auto" w:sz="4" w:space="0"/>
            </w:tcBorders>
            <w:vAlign w:val="center"/>
          </w:tcPr>
          <w:p w14:paraId="7CE315AD">
            <w:pPr>
              <w:jc w:val="center"/>
              <w:rPr>
                <w:rFonts w:hint="eastAsia" w:asciiTheme="minorEastAsia" w:hAnsiTheme="minorEastAsia" w:eastAsiaTheme="minorEastAsia" w:cstheme="minorEastAsia"/>
                <w:sz w:val="21"/>
                <w:szCs w:val="21"/>
                <w:highlight w:val="none"/>
              </w:rPr>
            </w:pPr>
          </w:p>
        </w:tc>
      </w:tr>
    </w:tbl>
    <w:p w14:paraId="78AA1148">
      <w:pPr>
        <w:widowControl/>
        <w:adjustRightInd w:val="0"/>
        <w:snapToGrid w:val="0"/>
        <w:spacing w:line="400" w:lineRule="exact"/>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（二）实施方案</w:t>
      </w:r>
    </w:p>
    <w:tbl>
      <w:tblPr>
        <w:tblStyle w:val="17"/>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71"/>
        <w:gridCol w:w="1054"/>
        <w:gridCol w:w="6002"/>
      </w:tblGrid>
      <w:tr w14:paraId="5825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11" w:type="dxa"/>
            <w:tcBorders>
              <w:top w:val="single" w:color="auto" w:sz="4" w:space="0"/>
              <w:left w:val="single" w:color="auto" w:sz="4" w:space="0"/>
              <w:bottom w:val="single" w:color="auto" w:sz="4" w:space="0"/>
              <w:right w:val="single" w:color="auto" w:sz="4" w:space="0"/>
            </w:tcBorders>
            <w:shd w:val="clear" w:color="auto" w:fill="A6A6A6"/>
          </w:tcPr>
          <w:p w14:paraId="4622173D">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271" w:type="dxa"/>
            <w:tcBorders>
              <w:top w:val="single" w:color="auto" w:sz="4" w:space="0"/>
              <w:left w:val="single" w:color="auto" w:sz="4" w:space="0"/>
              <w:bottom w:val="single" w:color="auto" w:sz="4" w:space="0"/>
              <w:right w:val="single" w:color="auto" w:sz="4" w:space="0"/>
            </w:tcBorders>
            <w:shd w:val="clear" w:color="auto" w:fill="A6A6A6"/>
          </w:tcPr>
          <w:p w14:paraId="718F3CA4">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内容</w:t>
            </w:r>
          </w:p>
        </w:tc>
        <w:tc>
          <w:tcPr>
            <w:tcW w:w="1054" w:type="dxa"/>
            <w:tcBorders>
              <w:top w:val="single" w:color="auto" w:sz="4" w:space="0"/>
              <w:left w:val="single" w:color="auto" w:sz="4" w:space="0"/>
              <w:bottom w:val="single" w:color="auto" w:sz="4" w:space="0"/>
              <w:right w:val="single" w:color="auto" w:sz="4" w:space="0"/>
            </w:tcBorders>
            <w:shd w:val="clear" w:color="auto" w:fill="A6A6A6"/>
          </w:tcPr>
          <w:p w14:paraId="7664B138">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重要性</w:t>
            </w:r>
          </w:p>
        </w:tc>
        <w:tc>
          <w:tcPr>
            <w:tcW w:w="6002" w:type="dxa"/>
            <w:tcBorders>
              <w:top w:val="single" w:color="auto" w:sz="4" w:space="0"/>
              <w:left w:val="single" w:color="auto" w:sz="4" w:space="0"/>
              <w:bottom w:val="single" w:color="auto" w:sz="4" w:space="0"/>
              <w:right w:val="single" w:color="auto" w:sz="4" w:space="0"/>
            </w:tcBorders>
            <w:shd w:val="clear" w:color="auto" w:fill="A6A6A6"/>
          </w:tcPr>
          <w:p w14:paraId="2A84416B">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实施标准</w:t>
            </w:r>
          </w:p>
        </w:tc>
      </w:tr>
      <w:tr w14:paraId="45F1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65B00B0C">
            <w:pPr>
              <w:pageBreakBefore w:val="0"/>
              <w:widowControl w:val="0"/>
              <w:numPr>
                <w:ilvl w:val="0"/>
                <w:numId w:val="0"/>
              </w:numPr>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271" w:type="dxa"/>
            <w:tcBorders>
              <w:top w:val="single" w:color="auto" w:sz="4" w:space="0"/>
              <w:left w:val="single" w:color="auto" w:sz="4" w:space="0"/>
              <w:bottom w:val="single" w:color="auto" w:sz="4" w:space="0"/>
              <w:right w:val="single" w:color="auto" w:sz="4" w:space="0"/>
            </w:tcBorders>
            <w:vAlign w:val="center"/>
          </w:tcPr>
          <w:p w14:paraId="41F1E3A7">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项目整体方案</w:t>
            </w:r>
          </w:p>
        </w:tc>
        <w:tc>
          <w:tcPr>
            <w:tcW w:w="1054" w:type="dxa"/>
            <w:tcBorders>
              <w:top w:val="single" w:color="auto" w:sz="4" w:space="0"/>
              <w:left w:val="single" w:color="auto" w:sz="4" w:space="0"/>
              <w:bottom w:val="single" w:color="auto" w:sz="4" w:space="0"/>
              <w:right w:val="single" w:color="auto" w:sz="4" w:space="0"/>
            </w:tcBorders>
            <w:vAlign w:val="center"/>
          </w:tcPr>
          <w:p w14:paraId="19AC0A29">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lang w:bidi="en-US"/>
              </w:rPr>
            </w:pPr>
          </w:p>
        </w:tc>
        <w:tc>
          <w:tcPr>
            <w:tcW w:w="6002" w:type="dxa"/>
            <w:tcBorders>
              <w:top w:val="single" w:color="auto" w:sz="4" w:space="0"/>
              <w:left w:val="single" w:color="auto" w:sz="4" w:space="0"/>
              <w:bottom w:val="single" w:color="auto" w:sz="4" w:space="0"/>
              <w:right w:val="single" w:color="auto" w:sz="4" w:space="0"/>
            </w:tcBorders>
            <w:vAlign w:val="center"/>
          </w:tcPr>
          <w:p w14:paraId="7753BA15">
            <w:pPr>
              <w:pageBreakBefore w:val="0"/>
              <w:kinsoku/>
              <w:wordWrap/>
              <w:overflowPunct/>
              <w:topLinePunct w:val="0"/>
              <w:bidi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方案中须包含以下内容（包含但不限于）：1.</w:t>
            </w:r>
            <w:r>
              <w:rPr>
                <w:rFonts w:hint="eastAsia" w:asciiTheme="minorEastAsia" w:hAnsiTheme="minorEastAsia" w:eastAsiaTheme="minorEastAsia" w:cstheme="minorEastAsia"/>
                <w:color w:val="auto"/>
                <w:sz w:val="21"/>
                <w:szCs w:val="21"/>
                <w:highlight w:val="none"/>
              </w:rPr>
              <w:t>质量及安全保障措施</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项目实施进度</w:t>
            </w:r>
            <w:r>
              <w:rPr>
                <w:rFonts w:hint="eastAsia" w:asciiTheme="minorEastAsia" w:hAnsiTheme="minorEastAsia" w:eastAsiaTheme="minorEastAsia" w:cstheme="minorEastAsia"/>
                <w:color w:val="auto"/>
                <w:sz w:val="21"/>
                <w:szCs w:val="21"/>
                <w:highlight w:val="none"/>
                <w:lang w:eastAsia="zh-CN"/>
              </w:rPr>
              <w:t>措施</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实施工艺及方法</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售后服务措施</w:t>
            </w:r>
            <w:r>
              <w:rPr>
                <w:rFonts w:hint="eastAsia" w:asciiTheme="minorEastAsia" w:hAnsiTheme="minorEastAsia" w:eastAsiaTheme="minorEastAsia" w:cstheme="minorEastAsia"/>
                <w:color w:val="auto"/>
                <w:sz w:val="21"/>
                <w:szCs w:val="21"/>
                <w:highlight w:val="none"/>
                <w:lang w:eastAsia="zh-CN"/>
              </w:rPr>
              <w:t>等。</w:t>
            </w:r>
          </w:p>
        </w:tc>
      </w:tr>
    </w:tbl>
    <w:p w14:paraId="611CEF3A">
      <w:pPr>
        <w:widowControl/>
        <w:snapToGrid w:val="0"/>
        <w:spacing w:line="40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（三）人员投入及组织架构</w:t>
      </w:r>
    </w:p>
    <w:p w14:paraId="54276C99">
      <w:pPr>
        <w:widowControl/>
        <w:snapToGrid w:val="0"/>
        <w:spacing w:line="40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1、人员基本概述</w:t>
      </w:r>
    </w:p>
    <w:tbl>
      <w:tblPr>
        <w:tblStyle w:val="17"/>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07"/>
        <w:gridCol w:w="6582"/>
      </w:tblGrid>
      <w:tr w14:paraId="1B96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50" w:type="dxa"/>
            <w:shd w:val="clear" w:color="auto" w:fill="A6A6A6"/>
            <w:vAlign w:val="center"/>
          </w:tcPr>
          <w:p w14:paraId="659451A0">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序号</w:t>
            </w:r>
          </w:p>
        </w:tc>
        <w:tc>
          <w:tcPr>
            <w:tcW w:w="1307" w:type="dxa"/>
            <w:shd w:val="clear" w:color="auto" w:fill="A6A6A6"/>
            <w:vAlign w:val="center"/>
          </w:tcPr>
          <w:p w14:paraId="50B967FB">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内容</w:t>
            </w:r>
          </w:p>
        </w:tc>
        <w:tc>
          <w:tcPr>
            <w:tcW w:w="6582" w:type="dxa"/>
            <w:shd w:val="clear" w:color="auto" w:fill="A6A6A6"/>
            <w:vAlign w:val="center"/>
          </w:tcPr>
          <w:p w14:paraId="11E37F5E">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说明</w:t>
            </w:r>
          </w:p>
        </w:tc>
      </w:tr>
      <w:tr w14:paraId="2EBA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50" w:type="dxa"/>
            <w:vAlign w:val="center"/>
          </w:tcPr>
          <w:p w14:paraId="54436592">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p>
        </w:tc>
        <w:tc>
          <w:tcPr>
            <w:tcW w:w="1307" w:type="dxa"/>
            <w:vAlign w:val="center"/>
          </w:tcPr>
          <w:p w14:paraId="5317DF29">
            <w:pPr>
              <w:pStyle w:val="29"/>
              <w:pageBreakBefore w:val="0"/>
              <w:kinsoku/>
              <w:wordWrap/>
              <w:overflowPunct/>
              <w:topLinePunct w:val="0"/>
              <w:bidi w:val="0"/>
              <w:snapToGrid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项目经理及其他人员</w:t>
            </w:r>
          </w:p>
        </w:tc>
        <w:tc>
          <w:tcPr>
            <w:tcW w:w="6582" w:type="dxa"/>
            <w:vAlign w:val="center"/>
          </w:tcPr>
          <w:p w14:paraId="23B56F39">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单位提供的项目经理及技术人员必须为本公司人员。</w:t>
            </w:r>
          </w:p>
        </w:tc>
      </w:tr>
      <w:tr w14:paraId="440C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6" w:hRule="atLeast"/>
          <w:jc w:val="center"/>
        </w:trPr>
        <w:tc>
          <w:tcPr>
            <w:tcW w:w="650" w:type="dxa"/>
            <w:vAlign w:val="center"/>
          </w:tcPr>
          <w:p w14:paraId="644961C2">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w:t>
            </w:r>
          </w:p>
        </w:tc>
        <w:tc>
          <w:tcPr>
            <w:tcW w:w="1307" w:type="dxa"/>
            <w:vAlign w:val="center"/>
          </w:tcPr>
          <w:p w14:paraId="0B72AD6E">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人员证书及证件要求</w:t>
            </w:r>
          </w:p>
        </w:tc>
        <w:tc>
          <w:tcPr>
            <w:tcW w:w="6582" w:type="dxa"/>
            <w:vAlign w:val="center"/>
          </w:tcPr>
          <w:p w14:paraId="7A923B8F">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如本项目要求</w:t>
            </w:r>
            <w:r>
              <w:rPr>
                <w:rFonts w:hint="eastAsia" w:asciiTheme="minorEastAsia" w:hAnsiTheme="minorEastAsia" w:eastAsiaTheme="minorEastAsia" w:cstheme="minorEastAsia"/>
                <w:color w:val="auto"/>
                <w:sz w:val="21"/>
                <w:szCs w:val="21"/>
                <w:highlight w:val="none"/>
                <w:lang w:eastAsia="zh-CN"/>
              </w:rPr>
              <w:t>响应人</w:t>
            </w:r>
            <w:r>
              <w:rPr>
                <w:rFonts w:hint="eastAsia" w:asciiTheme="minorEastAsia" w:hAnsiTheme="minorEastAsia" w:eastAsiaTheme="minorEastAsia" w:cstheme="minorEastAsia"/>
                <w:color w:val="auto"/>
                <w:sz w:val="21"/>
                <w:szCs w:val="21"/>
                <w:highlight w:val="none"/>
              </w:rPr>
              <w:t>提供人员证书、证件的，按照以下要求执行</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有具体要求除外</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p>
          <w:p w14:paraId="72585AB7">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1.人员证书、证件</w:t>
            </w:r>
            <w:r>
              <w:rPr>
                <w:rFonts w:hint="eastAsia" w:asciiTheme="minorEastAsia" w:hAnsiTheme="minorEastAsia" w:eastAsiaTheme="minorEastAsia" w:cstheme="minorEastAsia"/>
                <w:color w:val="auto"/>
                <w:sz w:val="21"/>
                <w:szCs w:val="21"/>
                <w:highlight w:val="none"/>
                <w:lang w:eastAsia="zh-CN"/>
              </w:rPr>
              <w:t>扫描件</w:t>
            </w:r>
            <w:r>
              <w:rPr>
                <w:rFonts w:hint="eastAsia" w:asciiTheme="minorEastAsia" w:hAnsiTheme="minorEastAsia" w:eastAsiaTheme="minorEastAsia" w:cstheme="minorEastAsia"/>
                <w:color w:val="auto"/>
                <w:sz w:val="21"/>
                <w:szCs w:val="21"/>
                <w:highlight w:val="none"/>
              </w:rPr>
              <w:t>须加盖</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单位公章制作至标书内；</w:t>
            </w:r>
          </w:p>
          <w:p w14:paraId="4B9B994B">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2.人员资格证书须为国家行政部门或授权的第三方机构颁发（有具体要求的按要求执行），职称证书须为国家人社部门颁发（有具体要求的按要求执行）；</w:t>
            </w:r>
          </w:p>
          <w:p w14:paraId="3016635E">
            <w:pPr>
              <w:pageBreakBefore w:val="0"/>
              <w:widowControl/>
              <w:kinsoku/>
              <w:wordWrap/>
              <w:overflowPunct/>
              <w:topLinePunct w:val="0"/>
              <w:bidi w:val="0"/>
              <w:spacing w:beforeAutospacing="0" w:afterAutospacing="0" w:line="360" w:lineRule="auto"/>
              <w:ind w:left="0" w:leftChars="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上述1、2条件不满足不予认定</w:t>
            </w:r>
            <w:r>
              <w:rPr>
                <w:rFonts w:hint="eastAsia" w:asciiTheme="minorEastAsia" w:hAnsiTheme="minorEastAsia" w:eastAsiaTheme="minorEastAsia" w:cstheme="minorEastAsia"/>
                <w:bCs/>
                <w:color w:val="auto"/>
                <w:sz w:val="21"/>
                <w:szCs w:val="21"/>
                <w:highlight w:val="none"/>
              </w:rPr>
              <w:t>。</w:t>
            </w:r>
          </w:p>
        </w:tc>
      </w:tr>
    </w:tbl>
    <w:p w14:paraId="318EC003">
      <w:pP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2、人员团队列表</w:t>
      </w:r>
    </w:p>
    <w:tbl>
      <w:tblPr>
        <w:tblStyle w:val="17"/>
        <w:tblW w:w="8378" w:type="dxa"/>
        <w:tblInd w:w="2" w:type="dxa"/>
        <w:tblLayout w:type="fixed"/>
        <w:tblCellMar>
          <w:top w:w="0" w:type="dxa"/>
          <w:left w:w="0" w:type="dxa"/>
          <w:bottom w:w="0" w:type="dxa"/>
          <w:right w:w="0" w:type="dxa"/>
        </w:tblCellMar>
      </w:tblPr>
      <w:tblGrid>
        <w:gridCol w:w="1152"/>
        <w:gridCol w:w="1075"/>
        <w:gridCol w:w="3683"/>
        <w:gridCol w:w="1265"/>
        <w:gridCol w:w="1203"/>
      </w:tblGrid>
      <w:tr w14:paraId="64C5515C">
        <w:tblPrEx>
          <w:tblCellMar>
            <w:top w:w="0" w:type="dxa"/>
            <w:left w:w="0" w:type="dxa"/>
            <w:bottom w:w="0" w:type="dxa"/>
            <w:right w:w="0" w:type="dxa"/>
          </w:tblCellMar>
        </w:tblPrEx>
        <w:trPr>
          <w:trHeight w:val="520" w:hRule="atLeast"/>
        </w:trPr>
        <w:tc>
          <w:tcPr>
            <w:tcW w:w="1152"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13CEAE28">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岗位</w:t>
            </w:r>
          </w:p>
        </w:tc>
        <w:tc>
          <w:tcPr>
            <w:tcW w:w="1075"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0C142104">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人员</w:t>
            </w:r>
          </w:p>
          <w:p w14:paraId="0E254F15">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3683"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554C6A6A">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人员资质及身份要求</w:t>
            </w:r>
          </w:p>
        </w:tc>
        <w:tc>
          <w:tcPr>
            <w:tcW w:w="1265" w:type="dxa"/>
            <w:tcBorders>
              <w:top w:val="single" w:color="000000" w:sz="8" w:space="0"/>
              <w:left w:val="nil"/>
              <w:bottom w:val="single" w:color="000000" w:sz="8" w:space="0"/>
              <w:right w:val="single" w:color="000000" w:sz="8" w:space="0"/>
            </w:tcBorders>
            <w:shd w:val="clear" w:color="auto" w:fill="A5A5A5" w:themeFill="background1" w:themeFillShade="A6"/>
            <w:vAlign w:val="center"/>
          </w:tcPr>
          <w:p w14:paraId="69FA9802">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职责</w:t>
            </w:r>
          </w:p>
        </w:tc>
        <w:tc>
          <w:tcPr>
            <w:tcW w:w="1203"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vAlign w:val="center"/>
          </w:tcPr>
          <w:p w14:paraId="6AABE74C">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重要性</w:t>
            </w:r>
          </w:p>
        </w:tc>
      </w:tr>
      <w:tr w14:paraId="295FD9DC">
        <w:tblPrEx>
          <w:tblCellMar>
            <w:top w:w="0" w:type="dxa"/>
            <w:left w:w="0" w:type="dxa"/>
            <w:bottom w:w="0" w:type="dxa"/>
            <w:right w:w="0" w:type="dxa"/>
          </w:tblCellMar>
        </w:tblPrEx>
        <w:trPr>
          <w:trHeight w:val="2103" w:hRule="atLeast"/>
        </w:trPr>
        <w:tc>
          <w:tcPr>
            <w:tcW w:w="1152" w:type="dxa"/>
            <w:tcBorders>
              <w:top w:val="nil"/>
              <w:left w:val="single" w:color="000000" w:sz="8" w:space="0"/>
              <w:right w:val="single" w:color="000000" w:sz="8" w:space="0"/>
            </w:tcBorders>
            <w:tcMar>
              <w:top w:w="15" w:type="dxa"/>
              <w:left w:w="15" w:type="dxa"/>
              <w:bottom w:w="0" w:type="dxa"/>
              <w:right w:w="15" w:type="dxa"/>
            </w:tcMar>
            <w:vAlign w:val="center"/>
          </w:tcPr>
          <w:p w14:paraId="4FD3E92B">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1075" w:type="dxa"/>
            <w:tcBorders>
              <w:top w:val="nil"/>
              <w:left w:val="nil"/>
              <w:right w:val="single" w:color="000000" w:sz="8" w:space="0"/>
            </w:tcBorders>
            <w:tcMar>
              <w:top w:w="15" w:type="dxa"/>
              <w:left w:w="15" w:type="dxa"/>
              <w:bottom w:w="0" w:type="dxa"/>
              <w:right w:w="15" w:type="dxa"/>
            </w:tcMar>
            <w:vAlign w:val="center"/>
          </w:tcPr>
          <w:p w14:paraId="391DF0B6">
            <w:pPr>
              <w:widowControl/>
              <w:ind w:firstLine="56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683" w:type="dxa"/>
            <w:tcBorders>
              <w:top w:val="nil"/>
              <w:left w:val="nil"/>
              <w:bottom w:val="single" w:color="000000" w:sz="8" w:space="0"/>
              <w:right w:val="single" w:color="000000" w:sz="8" w:space="0"/>
            </w:tcBorders>
            <w:tcMar>
              <w:top w:w="15" w:type="dxa"/>
              <w:left w:w="15" w:type="dxa"/>
              <w:bottom w:w="0" w:type="dxa"/>
              <w:right w:w="15" w:type="dxa"/>
            </w:tcMar>
            <w:vAlign w:val="center"/>
          </w:tcPr>
          <w:p w14:paraId="59C81866">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承诺在响应本项目时不得担任其他在施建设工程项目的项目经理</w:t>
            </w:r>
            <w:r>
              <w:rPr>
                <w:rFonts w:hint="eastAsia" w:asciiTheme="minorEastAsia" w:hAnsiTheme="minorEastAsia" w:eastAsiaTheme="minorEastAsia" w:cstheme="minorEastAsia"/>
                <w:bCs/>
                <w:color w:val="auto"/>
                <w:sz w:val="21"/>
                <w:szCs w:val="21"/>
                <w:highlight w:val="none"/>
                <w:lang w:eastAsia="zh-CN"/>
              </w:rPr>
              <w:t>。</w:t>
            </w:r>
          </w:p>
          <w:p w14:paraId="61A67346">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b/>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lang w:val="en-US" w:eastAsia="zh-CN"/>
              </w:rPr>
              <w:t>注：响应文件内</w:t>
            </w:r>
            <w:r>
              <w:rPr>
                <w:rFonts w:hint="eastAsia" w:asciiTheme="minorEastAsia" w:hAnsiTheme="minorEastAsia" w:eastAsiaTheme="minorEastAsia" w:cstheme="minorEastAsia"/>
                <w:b/>
                <w:bCs w:val="0"/>
                <w:color w:val="auto"/>
                <w:sz w:val="21"/>
                <w:szCs w:val="21"/>
                <w:highlight w:val="none"/>
                <w:lang w:eastAsia="zh-CN"/>
              </w:rPr>
              <w:t>提供项目经理无在建承诺函。</w:t>
            </w:r>
          </w:p>
          <w:p w14:paraId="4408967B">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color w:val="auto"/>
                <w:sz w:val="21"/>
                <w:szCs w:val="21"/>
                <w:highlight w:val="none"/>
              </w:rPr>
              <w:t>（经查，评审现场或评审结束后发现项目经理存在网上公示的在建项目，或在本项目开标前项目经理变更后无网上变更公示的，按项目经理存在在建项目</w:t>
            </w:r>
            <w:r>
              <w:rPr>
                <w:rFonts w:hint="eastAsia" w:asciiTheme="minorEastAsia" w:hAnsiTheme="minorEastAsia" w:eastAsiaTheme="minorEastAsia" w:cstheme="minorEastAsia"/>
                <w:bCs/>
                <w:color w:val="auto"/>
                <w:sz w:val="21"/>
                <w:szCs w:val="21"/>
                <w:highlight w:val="none"/>
                <w:lang w:eastAsia="zh-CN"/>
              </w:rPr>
              <w:t>，予以废标</w:t>
            </w:r>
            <w:r>
              <w:rPr>
                <w:rFonts w:hint="eastAsia" w:asciiTheme="minorEastAsia" w:hAnsiTheme="minorEastAsia" w:eastAsiaTheme="minorEastAsia" w:cstheme="minorEastAsia"/>
                <w:bCs/>
                <w:color w:val="auto"/>
                <w:sz w:val="21"/>
                <w:szCs w:val="21"/>
                <w:highlight w:val="none"/>
              </w:rPr>
              <w:t>处理。）</w:t>
            </w:r>
          </w:p>
        </w:tc>
        <w:tc>
          <w:tcPr>
            <w:tcW w:w="1265" w:type="dxa"/>
            <w:tcBorders>
              <w:top w:val="single" w:color="000000" w:sz="8" w:space="0"/>
              <w:left w:val="nil"/>
              <w:right w:val="single" w:color="000000" w:sz="8" w:space="0"/>
            </w:tcBorders>
            <w:vAlign w:val="center"/>
          </w:tcPr>
          <w:p w14:paraId="77C63192">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负责整体项目</w:t>
            </w:r>
          </w:p>
        </w:tc>
        <w:tc>
          <w:tcPr>
            <w:tcW w:w="1203" w:type="dxa"/>
            <w:tcBorders>
              <w:top w:val="single" w:color="000000" w:sz="8" w:space="0"/>
              <w:left w:val="single" w:color="000000" w:sz="8" w:space="0"/>
              <w:right w:val="single" w:color="000000" w:sz="8" w:space="0"/>
            </w:tcBorders>
            <w:vAlign w:val="center"/>
          </w:tcPr>
          <w:p w14:paraId="394ACA30">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3F62BC58">
        <w:tblPrEx>
          <w:tblCellMar>
            <w:top w:w="0" w:type="dxa"/>
            <w:left w:w="0" w:type="dxa"/>
            <w:bottom w:w="0" w:type="dxa"/>
            <w:right w:w="0" w:type="dxa"/>
          </w:tblCellMar>
        </w:tblPrEx>
        <w:trPr>
          <w:trHeight w:val="2896" w:hRule="atLeast"/>
        </w:trPr>
        <w:tc>
          <w:tcPr>
            <w:tcW w:w="1152" w:type="dxa"/>
            <w:tcBorders>
              <w:top w:val="nil"/>
              <w:left w:val="single" w:color="000000" w:sz="8" w:space="0"/>
              <w:right w:val="single" w:color="000000" w:sz="8" w:space="0"/>
            </w:tcBorders>
            <w:tcMar>
              <w:top w:w="15" w:type="dxa"/>
              <w:left w:w="15" w:type="dxa"/>
              <w:bottom w:w="0" w:type="dxa"/>
              <w:right w:w="15" w:type="dxa"/>
            </w:tcMar>
            <w:vAlign w:val="center"/>
          </w:tcPr>
          <w:p w14:paraId="23E031C7">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技术人员</w:t>
            </w:r>
          </w:p>
        </w:tc>
        <w:tc>
          <w:tcPr>
            <w:tcW w:w="1075"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3D04890B">
            <w:pPr>
              <w:widowControl/>
              <w:ind w:firstLine="560"/>
              <w:textAlignment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2</w:t>
            </w:r>
          </w:p>
        </w:tc>
        <w:tc>
          <w:tcPr>
            <w:tcW w:w="3683"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130AC09F">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应配备本单位正式员工：</w:t>
            </w:r>
          </w:p>
          <w:p w14:paraId="660CBF00">
            <w:pPr>
              <w:pageBreakBefore w:val="0"/>
              <w:numPr>
                <w:ilvl w:val="-1"/>
                <w:numId w:val="0"/>
              </w:numPr>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技术人员2人，其中，专职安全人员1人，须具有安全生产考核合格证（B类），项目负责人和安全员不得为同一人；另一人具备</w:t>
            </w:r>
            <w:r>
              <w:rPr>
                <w:rFonts w:hint="eastAsia" w:asciiTheme="minorEastAsia" w:hAnsiTheme="minorEastAsia" w:eastAsiaTheme="minorEastAsia" w:cstheme="minorEastAsia"/>
                <w:sz w:val="21"/>
                <w:szCs w:val="21"/>
                <w:highlight w:val="none"/>
                <w:lang w:val="en-US" w:eastAsia="zh-CN"/>
              </w:rPr>
              <w:t>系统集成项目管理工程师中级或以上技术资格</w:t>
            </w:r>
            <w:r>
              <w:rPr>
                <w:rFonts w:hint="eastAsia" w:asciiTheme="minorEastAsia" w:hAnsiTheme="minorEastAsia" w:eastAsiaTheme="minorEastAsia" w:cstheme="minorEastAsia"/>
                <w:sz w:val="21"/>
                <w:szCs w:val="21"/>
                <w:highlight w:val="none"/>
                <w:lang w:eastAsia="zh-CN"/>
              </w:rPr>
              <w:t>。</w:t>
            </w:r>
          </w:p>
          <w:p w14:paraId="2ADC6B58">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注：响应文件内提供相关证书及近3个月社保证明（加盖响应人公章）。</w:t>
            </w:r>
          </w:p>
        </w:tc>
        <w:tc>
          <w:tcPr>
            <w:tcW w:w="1265" w:type="dxa"/>
            <w:tcBorders>
              <w:top w:val="single" w:color="000000" w:sz="8" w:space="0"/>
              <w:left w:val="single" w:color="000000" w:sz="8" w:space="0"/>
              <w:right w:val="single" w:color="000000" w:sz="8" w:space="0"/>
            </w:tcBorders>
            <w:vAlign w:val="center"/>
          </w:tcPr>
          <w:p w14:paraId="0FEC2BAD">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负责项目的运行管理</w:t>
            </w:r>
          </w:p>
        </w:tc>
        <w:tc>
          <w:tcPr>
            <w:tcW w:w="1203" w:type="dxa"/>
            <w:tcBorders>
              <w:top w:val="single" w:color="000000" w:sz="8" w:space="0"/>
              <w:left w:val="single" w:color="000000" w:sz="8" w:space="0"/>
              <w:bottom w:val="single" w:color="000000" w:sz="8" w:space="0"/>
              <w:right w:val="single" w:color="000000" w:sz="8" w:space="0"/>
            </w:tcBorders>
            <w:vAlign w:val="center"/>
          </w:tcPr>
          <w:p w14:paraId="64C31E93">
            <w:pPr>
              <w:widowControl/>
              <w:jc w:val="center"/>
              <w:textAlignment w:val="center"/>
              <w:rPr>
                <w:rFonts w:hint="eastAsia" w:asciiTheme="minorEastAsia" w:hAnsiTheme="minorEastAsia" w:eastAsiaTheme="minorEastAsia" w:cstheme="minorEastAsia"/>
                <w:sz w:val="21"/>
                <w:szCs w:val="21"/>
                <w:highlight w:val="none"/>
              </w:rPr>
            </w:pPr>
          </w:p>
        </w:tc>
      </w:tr>
      <w:tr w14:paraId="5254F080">
        <w:tblPrEx>
          <w:tblCellMar>
            <w:top w:w="0" w:type="dxa"/>
            <w:left w:w="0" w:type="dxa"/>
            <w:bottom w:w="0" w:type="dxa"/>
            <w:right w:w="0" w:type="dxa"/>
          </w:tblCellMar>
        </w:tblPrEx>
        <w:trPr>
          <w:trHeight w:val="538" w:hRule="atLeast"/>
        </w:trPr>
        <w:tc>
          <w:tcPr>
            <w:tcW w:w="1152"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F85B16">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合计</w:t>
            </w:r>
          </w:p>
        </w:tc>
        <w:tc>
          <w:tcPr>
            <w:tcW w:w="1075"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4498059F">
            <w:pPr>
              <w:keepNext/>
              <w:keepLines/>
              <w:widowControl/>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3683"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6FDE02F2">
            <w:pPr>
              <w:keepNext/>
              <w:keepLines/>
              <w:widowControl/>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rPr>
            </w:pPr>
          </w:p>
        </w:tc>
        <w:tc>
          <w:tcPr>
            <w:tcW w:w="1265" w:type="dxa"/>
            <w:tcBorders>
              <w:top w:val="single" w:color="000000" w:sz="8" w:space="0"/>
              <w:left w:val="nil"/>
              <w:bottom w:val="single" w:color="000000" w:sz="8" w:space="0"/>
              <w:right w:val="single" w:color="000000" w:sz="8" w:space="0"/>
            </w:tcBorders>
            <w:vAlign w:val="center"/>
          </w:tcPr>
          <w:p w14:paraId="6EA24D4C">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总服务人数：</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人</w:t>
            </w:r>
          </w:p>
        </w:tc>
        <w:tc>
          <w:tcPr>
            <w:tcW w:w="1203" w:type="dxa"/>
            <w:tcBorders>
              <w:top w:val="single" w:color="000000" w:sz="8" w:space="0"/>
              <w:left w:val="single" w:color="000000" w:sz="8" w:space="0"/>
              <w:bottom w:val="single" w:color="000000" w:sz="8" w:space="0"/>
              <w:right w:val="single" w:color="000000" w:sz="8" w:space="0"/>
            </w:tcBorders>
            <w:vAlign w:val="center"/>
          </w:tcPr>
          <w:p w14:paraId="0DFFAAC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bl>
    <w:p w14:paraId="13D181E6">
      <w:pPr>
        <w:spacing w:line="48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（四）其他要求</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838"/>
        <w:gridCol w:w="1019"/>
        <w:gridCol w:w="4149"/>
        <w:gridCol w:w="1644"/>
      </w:tblGrid>
      <w:tr w14:paraId="6A9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88"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09030C5A">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838"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75F3E4C7">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1019"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0B917B83">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4149"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175A8214">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要求标准</w:t>
            </w:r>
          </w:p>
        </w:tc>
        <w:tc>
          <w:tcPr>
            <w:tcW w:w="1644"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7DCF296C">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1E51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788" w:type="dxa"/>
            <w:tcBorders>
              <w:top w:val="single" w:color="auto" w:sz="4" w:space="0"/>
              <w:left w:val="single" w:color="auto" w:sz="4" w:space="0"/>
              <w:bottom w:val="single" w:color="auto" w:sz="4" w:space="0"/>
              <w:right w:val="single" w:color="auto" w:sz="4" w:space="0"/>
            </w:tcBorders>
            <w:vAlign w:val="center"/>
          </w:tcPr>
          <w:p w14:paraId="4AD548F3">
            <w:pPr>
              <w:jc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1</w:t>
            </w:r>
          </w:p>
        </w:tc>
        <w:tc>
          <w:tcPr>
            <w:tcW w:w="838" w:type="dxa"/>
            <w:tcBorders>
              <w:top w:val="single" w:color="auto" w:sz="4" w:space="0"/>
              <w:left w:val="single" w:color="auto" w:sz="4" w:space="0"/>
              <w:bottom w:val="single" w:color="auto" w:sz="4" w:space="0"/>
              <w:right w:val="single" w:color="auto" w:sz="4" w:space="0"/>
            </w:tcBorders>
            <w:vAlign w:val="center"/>
          </w:tcPr>
          <w:p w14:paraId="34537B6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业绩情况</w:t>
            </w:r>
          </w:p>
        </w:tc>
        <w:tc>
          <w:tcPr>
            <w:tcW w:w="1019" w:type="dxa"/>
            <w:tcBorders>
              <w:top w:val="single" w:color="auto" w:sz="4" w:space="0"/>
              <w:left w:val="single" w:color="auto" w:sz="4" w:space="0"/>
              <w:bottom w:val="single" w:color="auto" w:sz="4" w:space="0"/>
              <w:right w:val="single" w:color="auto" w:sz="4" w:space="0"/>
            </w:tcBorders>
          </w:tcPr>
          <w:p w14:paraId="689E1A81">
            <w:pPr>
              <w:keepNext/>
              <w:keepLines/>
              <w:jc w:val="center"/>
              <w:outlineLvl w:val="0"/>
              <w:rPr>
                <w:rFonts w:hint="eastAsia" w:asciiTheme="minorEastAsia" w:hAnsiTheme="minorEastAsia" w:eastAsiaTheme="minorEastAsia" w:cstheme="minorEastAsia"/>
                <w:kern w:val="0"/>
                <w:sz w:val="21"/>
                <w:szCs w:val="21"/>
                <w:highlight w:val="none"/>
              </w:rPr>
            </w:pPr>
          </w:p>
          <w:p w14:paraId="0D6BAF27">
            <w:pPr>
              <w:keepNext/>
              <w:keepLines/>
              <w:jc w:val="center"/>
              <w:outlineLvl w:val="0"/>
              <w:rPr>
                <w:rFonts w:hint="eastAsia" w:asciiTheme="minorEastAsia" w:hAnsiTheme="minorEastAsia" w:eastAsiaTheme="minorEastAsia" w:cstheme="minorEastAsia"/>
                <w:sz w:val="21"/>
                <w:szCs w:val="21"/>
                <w:highlight w:val="none"/>
              </w:rPr>
            </w:pPr>
          </w:p>
        </w:tc>
        <w:tc>
          <w:tcPr>
            <w:tcW w:w="4149" w:type="dxa"/>
            <w:tcBorders>
              <w:top w:val="single" w:color="auto" w:sz="4" w:space="0"/>
              <w:left w:val="single" w:color="auto" w:sz="4" w:space="0"/>
              <w:bottom w:val="single" w:color="auto" w:sz="4" w:space="0"/>
              <w:right w:val="single" w:color="auto" w:sz="4" w:space="0"/>
            </w:tcBorders>
            <w:vAlign w:val="center"/>
          </w:tcPr>
          <w:p w14:paraId="581F089C">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提供提供自</w:t>
            </w:r>
            <w:r>
              <w:rPr>
                <w:rFonts w:hint="eastAsia" w:asciiTheme="minorEastAsia" w:hAnsiTheme="minorEastAsia" w:eastAsiaTheme="minorEastAsia" w:cstheme="minorEastAsia"/>
                <w:sz w:val="21"/>
                <w:szCs w:val="21"/>
                <w:highlight w:val="none"/>
                <w:lang w:val="en-US" w:eastAsia="zh-CN"/>
              </w:rPr>
              <w:t>2023</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月以来类似项目</w:t>
            </w:r>
            <w:r>
              <w:rPr>
                <w:rFonts w:hint="eastAsia" w:asciiTheme="minorEastAsia" w:hAnsiTheme="minorEastAsia" w:eastAsiaTheme="minorEastAsia" w:cstheme="minorEastAsia"/>
                <w:sz w:val="21"/>
                <w:szCs w:val="21"/>
                <w:highlight w:val="none"/>
                <w:lang w:eastAsia="zh-CN"/>
              </w:rPr>
              <w:t>（智慧课室建设项目、实训课室建设项目）</w:t>
            </w:r>
            <w:r>
              <w:rPr>
                <w:rFonts w:hint="eastAsia" w:asciiTheme="minorEastAsia" w:hAnsiTheme="minorEastAsia" w:eastAsiaTheme="minorEastAsia" w:cstheme="minorEastAsia"/>
                <w:sz w:val="21"/>
                <w:szCs w:val="21"/>
                <w:highlight w:val="none"/>
              </w:rPr>
              <w:t>的业绩案例</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w:t>
            </w:r>
          </w:p>
        </w:tc>
        <w:tc>
          <w:tcPr>
            <w:tcW w:w="1644" w:type="dxa"/>
            <w:tcBorders>
              <w:top w:val="single" w:color="auto" w:sz="4" w:space="0"/>
              <w:left w:val="single" w:color="auto" w:sz="4" w:space="0"/>
              <w:bottom w:val="single" w:color="auto" w:sz="4" w:space="0"/>
              <w:right w:val="single" w:color="auto" w:sz="4" w:space="0"/>
            </w:tcBorders>
            <w:vAlign w:val="center"/>
          </w:tcPr>
          <w:p w14:paraId="55497A65">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是</w:t>
            </w:r>
          </w:p>
          <w:p w14:paraId="15EC4B5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提供合同复印件</w:t>
            </w:r>
            <w:r>
              <w:rPr>
                <w:rFonts w:hint="eastAsia" w:asciiTheme="minorEastAsia" w:hAnsiTheme="minorEastAsia" w:eastAsiaTheme="minorEastAsia" w:cstheme="minorEastAsia"/>
                <w:sz w:val="21"/>
                <w:szCs w:val="21"/>
                <w:highlight w:val="none"/>
                <w:lang w:val="en-US" w:eastAsia="zh-CN"/>
              </w:rPr>
              <w:t>，并加盖响应人公章</w:t>
            </w:r>
            <w:r>
              <w:rPr>
                <w:rFonts w:hint="eastAsia" w:asciiTheme="minorEastAsia" w:hAnsiTheme="minorEastAsia" w:eastAsiaTheme="minorEastAsia" w:cstheme="minorEastAsia"/>
                <w:color w:val="auto"/>
                <w:sz w:val="21"/>
                <w:szCs w:val="21"/>
                <w:highlight w:val="none"/>
                <w:lang w:eastAsia="zh-CN"/>
              </w:rPr>
              <w:t>）</w:t>
            </w:r>
          </w:p>
        </w:tc>
      </w:tr>
      <w:tr w14:paraId="03F3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788" w:type="dxa"/>
            <w:tcBorders>
              <w:top w:val="single" w:color="auto" w:sz="4" w:space="0"/>
              <w:left w:val="single" w:color="auto" w:sz="4" w:space="0"/>
              <w:bottom w:val="single" w:color="auto" w:sz="4" w:space="0"/>
              <w:right w:val="single" w:color="auto" w:sz="4" w:space="0"/>
            </w:tcBorders>
            <w:vAlign w:val="center"/>
          </w:tcPr>
          <w:p w14:paraId="50672A76">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838" w:type="dxa"/>
            <w:tcBorders>
              <w:top w:val="single" w:color="auto" w:sz="4" w:space="0"/>
              <w:left w:val="single" w:color="auto" w:sz="4" w:space="0"/>
              <w:bottom w:val="single" w:color="auto" w:sz="4" w:space="0"/>
              <w:right w:val="single" w:color="auto" w:sz="4" w:space="0"/>
            </w:tcBorders>
            <w:shd w:val="clear" w:color="auto" w:fill="auto"/>
            <w:vAlign w:val="center"/>
          </w:tcPr>
          <w:p w14:paraId="7FE44474">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投标人非强制资质要求情况</w:t>
            </w:r>
          </w:p>
        </w:tc>
        <w:tc>
          <w:tcPr>
            <w:tcW w:w="1019" w:type="dxa"/>
            <w:tcBorders>
              <w:top w:val="single" w:color="auto" w:sz="4" w:space="0"/>
              <w:left w:val="single" w:color="auto" w:sz="4" w:space="0"/>
              <w:bottom w:val="single" w:color="auto" w:sz="4" w:space="0"/>
              <w:right w:val="single" w:color="auto" w:sz="4" w:space="0"/>
            </w:tcBorders>
            <w:shd w:val="clear" w:color="auto" w:fill="auto"/>
            <w:vAlign w:val="top"/>
          </w:tcPr>
          <w:p w14:paraId="1267A9B2">
            <w:pPr>
              <w:keepNext/>
              <w:keepLines/>
              <w:outlineLvl w:val="2"/>
              <w:rPr>
                <w:rFonts w:hint="eastAsia" w:asciiTheme="minorEastAsia" w:hAnsiTheme="minorEastAsia" w:eastAsiaTheme="minorEastAsia" w:cstheme="minorEastAsia"/>
                <w:kern w:val="2"/>
                <w:sz w:val="21"/>
                <w:szCs w:val="21"/>
                <w:highlight w:val="none"/>
                <w:lang w:val="en-US" w:eastAsia="zh-CN" w:bidi="ar-SA"/>
              </w:rPr>
            </w:pPr>
          </w:p>
        </w:tc>
        <w:tc>
          <w:tcPr>
            <w:tcW w:w="4149" w:type="dxa"/>
            <w:tcBorders>
              <w:top w:val="single" w:color="auto" w:sz="4" w:space="0"/>
              <w:left w:val="single" w:color="auto" w:sz="4" w:space="0"/>
              <w:bottom w:val="single" w:color="auto" w:sz="4" w:space="0"/>
              <w:right w:val="single" w:color="auto" w:sz="4" w:space="0"/>
            </w:tcBorders>
            <w:shd w:val="clear" w:color="auto" w:fill="auto"/>
            <w:vAlign w:val="top"/>
          </w:tcPr>
          <w:p w14:paraId="610626E9">
            <w:pPr>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（1）质量管理体系认证证书（ ISO9001或GB/T19001）；</w:t>
            </w:r>
          </w:p>
          <w:p w14:paraId="3D29D972">
            <w:pPr>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（2）环境管理体系认证证书（ ISO14001或GB/T24001）；</w:t>
            </w:r>
          </w:p>
          <w:p w14:paraId="10116D38">
            <w:pPr>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lang w:bidi="zh-CN"/>
              </w:rPr>
              <w:t>（3）职业健康安全管理体系认证证书（ OHSAS18001或GB/T28001或 ISO45001或GB/T45001）。</w:t>
            </w:r>
          </w:p>
        </w:tc>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14:paraId="70F5B627">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是</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提供相应证书，并加盖响应人公章</w:t>
            </w:r>
            <w:r>
              <w:rPr>
                <w:rFonts w:hint="eastAsia" w:asciiTheme="minorEastAsia" w:hAnsiTheme="minorEastAsia" w:eastAsiaTheme="minorEastAsia" w:cstheme="minorEastAsia"/>
                <w:sz w:val="21"/>
                <w:szCs w:val="21"/>
                <w:highlight w:val="none"/>
                <w:lang w:eastAsia="zh-CN"/>
              </w:rPr>
              <w:t>）</w:t>
            </w:r>
          </w:p>
        </w:tc>
      </w:tr>
    </w:tbl>
    <w:p w14:paraId="7E9F049C">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53CF49B3">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F3522EF">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0498A5C2">
      <w:pPr>
        <w:pageBreakBefore w:val="0"/>
        <w:kinsoku/>
        <w:wordWrap/>
        <w:overflowPunct/>
        <w:topLinePunct w:val="0"/>
        <w:bidi w:val="0"/>
        <w:spacing w:line="255" w:lineRule="auto"/>
        <w:rPr>
          <w:rFonts w:hint="eastAsia" w:ascii="宋体" w:hAnsi="宋体" w:eastAsia="宋体" w:cs="宋体"/>
          <w:color w:val="auto"/>
          <w:sz w:val="21"/>
          <w:highlight w:val="none"/>
        </w:rPr>
      </w:pPr>
    </w:p>
    <w:p w14:paraId="086ED63F">
      <w:pPr>
        <w:jc w:val="center"/>
        <w:rPr>
          <w:rFonts w:ascii="宋体" w:hAnsi="宋体"/>
          <w:b/>
          <w:color w:val="000000"/>
          <w:sz w:val="72"/>
          <w:szCs w:val="72"/>
          <w:highlight w:val="none"/>
        </w:rPr>
      </w:pPr>
      <w:bookmarkStart w:id="19" w:name="_Toc14513"/>
      <w:r>
        <w:rPr>
          <w:rFonts w:ascii="宋体" w:hAnsi="宋体"/>
          <w:b/>
          <w:color w:val="000000"/>
          <w:sz w:val="72"/>
          <w:szCs w:val="52"/>
          <w:highlight w:val="none"/>
        </w:rPr>
        <w:t>建设工程施工合同</w:t>
      </w:r>
      <w:r>
        <w:rPr>
          <w:rFonts w:ascii="宋体" w:hAnsi="宋体"/>
          <w:b/>
          <w:color w:val="000000"/>
          <w:sz w:val="52"/>
          <w:szCs w:val="52"/>
          <w:highlight w:val="none"/>
        </w:rPr>
        <w:br w:type="textWrapping"/>
      </w:r>
    </w:p>
    <w:p w14:paraId="1B2D1229">
      <w:pPr>
        <w:jc w:val="center"/>
        <w:rPr>
          <w:rFonts w:ascii="宋体" w:hAnsi="宋体"/>
          <w:b/>
          <w:color w:val="000000"/>
          <w:sz w:val="72"/>
          <w:szCs w:val="72"/>
          <w:highlight w:val="none"/>
        </w:rPr>
      </w:pPr>
    </w:p>
    <w:p w14:paraId="5B783E64">
      <w:pPr>
        <w:jc w:val="center"/>
        <w:rPr>
          <w:rFonts w:ascii="宋体" w:hAnsi="宋体"/>
          <w:b/>
          <w:color w:val="000000"/>
          <w:sz w:val="52"/>
          <w:szCs w:val="52"/>
          <w:highlight w:val="none"/>
        </w:rPr>
      </w:pPr>
    </w:p>
    <w:p w14:paraId="43241C62">
      <w:pPr>
        <w:rPr>
          <w:rFonts w:ascii="宋体" w:hAnsi="宋体"/>
          <w:b/>
          <w:color w:val="000000"/>
          <w:szCs w:val="28"/>
          <w:highlight w:val="none"/>
        </w:rPr>
      </w:pPr>
    </w:p>
    <w:p w14:paraId="5CB9D8B2">
      <w:pPr>
        <w:rPr>
          <w:rFonts w:ascii="宋体" w:hAnsi="宋体"/>
          <w:b/>
          <w:color w:val="000000"/>
          <w:szCs w:val="28"/>
          <w:highlight w:val="none"/>
        </w:rPr>
      </w:pPr>
    </w:p>
    <w:p w14:paraId="06C41A62">
      <w:pPr>
        <w:rPr>
          <w:rFonts w:ascii="宋体" w:hAnsi="宋体"/>
          <w:b/>
          <w:color w:val="000000"/>
          <w:szCs w:val="28"/>
          <w:highlight w:val="none"/>
        </w:rPr>
      </w:pPr>
    </w:p>
    <w:p w14:paraId="2FDC704E">
      <w:pPr>
        <w:rPr>
          <w:rFonts w:ascii="宋体" w:hAnsi="宋体"/>
          <w:b/>
          <w:color w:val="000000"/>
          <w:szCs w:val="28"/>
          <w:highlight w:val="none"/>
        </w:rPr>
      </w:pPr>
    </w:p>
    <w:p w14:paraId="3A845237">
      <w:pPr>
        <w:rPr>
          <w:rFonts w:ascii="宋体" w:hAnsi="宋体"/>
          <w:b/>
          <w:color w:val="000000"/>
          <w:szCs w:val="28"/>
          <w:highlight w:val="none"/>
        </w:rPr>
      </w:pPr>
    </w:p>
    <w:p w14:paraId="08F2EFB2">
      <w:pPr>
        <w:outlineLvl w:val="9"/>
        <w:rPr>
          <w:highlight w:val="none"/>
        </w:rPr>
      </w:pPr>
    </w:p>
    <w:p w14:paraId="2654F22F">
      <w:pPr>
        <w:rPr>
          <w:highlight w:val="none"/>
        </w:rPr>
      </w:pPr>
    </w:p>
    <w:p w14:paraId="04C0A8DF">
      <w:pPr>
        <w:outlineLvl w:val="9"/>
        <w:rPr>
          <w:highlight w:val="none"/>
        </w:rPr>
      </w:pPr>
    </w:p>
    <w:p w14:paraId="5C2D12CF">
      <w:pPr>
        <w:rPr>
          <w:highlight w:val="none"/>
        </w:rPr>
      </w:pPr>
    </w:p>
    <w:p w14:paraId="38034837">
      <w:pPr>
        <w:outlineLvl w:val="9"/>
        <w:rPr>
          <w:highlight w:val="none"/>
        </w:rPr>
      </w:pPr>
    </w:p>
    <w:p w14:paraId="31A0319C">
      <w:pPr>
        <w:rPr>
          <w:rFonts w:hint="eastAsia"/>
          <w:highlight w:val="none"/>
        </w:rPr>
      </w:pPr>
    </w:p>
    <w:p w14:paraId="0DFD6D21">
      <w:pPr>
        <w:ind w:right="2719" w:rightChars="1295" w:firstLine="1890" w:firstLineChars="900"/>
        <w:rPr>
          <w:rFonts w:ascii="宋体" w:hAnsi="宋体"/>
          <w:b/>
          <w:color w:val="000000"/>
          <w:sz w:val="32"/>
          <w:szCs w:val="28"/>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3970020</wp:posOffset>
                </wp:positionH>
                <wp:positionV relativeFrom="paragraph">
                  <wp:posOffset>120015</wp:posOffset>
                </wp:positionV>
                <wp:extent cx="1816735" cy="871220"/>
                <wp:effectExtent l="4445" t="4445" r="7620" b="19685"/>
                <wp:wrapNone/>
                <wp:docPr id="1" name="文本框 1"/>
                <wp:cNvGraphicFramePr/>
                <a:graphic xmlns:a="http://schemas.openxmlformats.org/drawingml/2006/main">
                  <a:graphicData uri="http://schemas.microsoft.com/office/word/2010/wordprocessingShape">
                    <wps:wsp>
                      <wps:cNvSpPr txBox="1"/>
                      <wps:spPr>
                        <a:xfrm>
                          <a:off x="0" y="0"/>
                          <a:ext cx="1816735" cy="871220"/>
                        </a:xfrm>
                        <a:prstGeom prst="rect">
                          <a:avLst/>
                        </a:prstGeom>
                        <a:noFill/>
                        <a:ln w="9525" cap="flat" cmpd="sng">
                          <a:solidFill>
                            <a:srgbClr val="FFFFFF"/>
                          </a:solidFill>
                          <a:prstDash val="solid"/>
                          <a:miter/>
                          <a:headEnd type="none" w="med" len="med"/>
                          <a:tailEnd type="none" w="med" len="med"/>
                        </a:ln>
                        <a:effectLst/>
                      </wps:spPr>
                      <wps:txbx>
                        <w:txbxContent>
                          <w:p w14:paraId="72526894">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68.6pt;width:143.05pt;z-index:251662336;mso-width-relative:page;mso-height-relative:page;" filled="f" stroked="t" coordsize="21600,21600" o:gfxdata="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UNS8A2QAAAAoBAAAPAAAAAAAAAAEAIAAA&#10;ACIAAABkcnMvZG93bnJldi54bWxQSwECFAAUAAAACACHTuJAqxZWigsCAAAbBAAADgAAAAAAAAAB&#10;ACAAAAAoAQAAZHJzL2Uyb0RvYy54bWxQSwUGAAAAAAYABgBZAQAApQUAAAAA&#10;">
                <v:fill on="f" focussize="0,0"/>
                <v:stroke color="#FFFFFF" joinstyle="miter"/>
                <v:imagedata o:title=""/>
                <o:lock v:ext="edit" aspectratio="f"/>
                <v:textbox>
                  <w:txbxContent>
                    <w:p w14:paraId="72526894">
                      <w:pPr>
                        <w:rPr>
                          <w:b/>
                          <w:bCs/>
                          <w:sz w:val="32"/>
                        </w:rPr>
                      </w:pPr>
                      <w:r>
                        <w:rPr>
                          <w:rFonts w:hint="eastAsia"/>
                          <w:b/>
                          <w:bCs/>
                          <w:sz w:val="32"/>
                        </w:rPr>
                        <w:t>制定</w:t>
                      </w:r>
                    </w:p>
                  </w:txbxContent>
                </v:textbox>
              </v:shape>
            </w:pict>
          </mc:Fallback>
        </mc:AlternateContent>
      </w:r>
      <w:r>
        <w:rPr>
          <w:rFonts w:ascii="宋体" w:hAnsi="宋体"/>
          <w:b/>
          <w:color w:val="000000"/>
          <w:sz w:val="32"/>
          <w:szCs w:val="28"/>
          <w:highlight w:val="none"/>
        </w:rPr>
        <w:t>住房和城乡建设部</w:t>
      </w:r>
    </w:p>
    <w:p w14:paraId="3F726785">
      <w:pPr>
        <w:ind w:right="2719" w:rightChars="1295" w:firstLine="1601" w:firstLineChars="500"/>
        <w:rPr>
          <w:rFonts w:ascii="宋体" w:hAnsi="宋体"/>
          <w:b/>
          <w:color w:val="000000"/>
          <w:sz w:val="32"/>
          <w:szCs w:val="28"/>
          <w:highlight w:val="none"/>
        </w:rPr>
      </w:pPr>
      <w:r>
        <w:rPr>
          <w:rFonts w:ascii="宋体" w:hAnsi="宋体"/>
          <w:b/>
          <w:color w:val="000000"/>
          <w:sz w:val="32"/>
          <w:szCs w:val="28"/>
          <w:highlight w:val="none"/>
        </w:rPr>
        <w:t>国家工商行政管理总局</w:t>
      </w:r>
    </w:p>
    <w:p w14:paraId="645659D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jc w:val="center"/>
        <w:textAlignment w:val="baseline"/>
        <w:rPr>
          <w:rFonts w:hint="eastAsia" w:asciiTheme="minorEastAsia" w:hAnsiTheme="minorEastAsia" w:eastAsiaTheme="minorEastAsia" w:cstheme="minorEastAsia"/>
          <w:b/>
          <w:sz w:val="24"/>
          <w:szCs w:val="24"/>
          <w:highlight w:val="none"/>
        </w:rPr>
      </w:pPr>
      <w:r>
        <w:rPr>
          <w:rFonts w:hint="eastAsia" w:ascii="宋体" w:hAnsi="宋体" w:cs="宋体"/>
          <w:b/>
          <w:szCs w:val="21"/>
          <w:highlight w:val="none"/>
        </w:rPr>
        <w:br w:type="page"/>
      </w:r>
      <w:r>
        <w:rPr>
          <w:rFonts w:hint="eastAsia" w:asciiTheme="minorEastAsia" w:hAnsiTheme="minorEastAsia" w:eastAsiaTheme="minorEastAsia" w:cstheme="minorEastAsia"/>
          <w:b/>
          <w:sz w:val="24"/>
          <w:szCs w:val="24"/>
          <w:highlight w:val="none"/>
        </w:rPr>
        <w:t>工程施工合同书</w:t>
      </w:r>
    </w:p>
    <w:p w14:paraId="50557D5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发包方：</w:t>
      </w:r>
      <w:r>
        <w:rPr>
          <w:rFonts w:hint="eastAsia" w:asciiTheme="minorEastAsia" w:hAnsiTheme="minorEastAsia" w:eastAsiaTheme="minorEastAsia" w:cstheme="minorEastAsia"/>
          <w:sz w:val="24"/>
          <w:szCs w:val="24"/>
          <w:highlight w:val="none"/>
          <w:u w:val="single"/>
        </w:rPr>
        <w:t xml:space="preserve">   中国人民警察大学（广州）            </w:t>
      </w:r>
    </w:p>
    <w:p w14:paraId="26B7A35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承包方：</w:t>
      </w:r>
      <w:r>
        <w:rPr>
          <w:rFonts w:hint="eastAsia" w:asciiTheme="minorEastAsia" w:hAnsiTheme="minorEastAsia" w:eastAsiaTheme="minorEastAsia" w:cstheme="minorEastAsia"/>
          <w:sz w:val="24"/>
          <w:szCs w:val="24"/>
          <w:highlight w:val="none"/>
          <w:u w:val="single"/>
        </w:rPr>
        <w:t xml:space="preserve">                                       </w:t>
      </w:r>
    </w:p>
    <w:p w14:paraId="3DC2A3C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根据《中华人民共和国民法典》和工程验收规范及有关规定，结合本工程的具体情况，经双方协商一致，签订本合同，以资共同遵守。</w:t>
      </w:r>
    </w:p>
    <w:p w14:paraId="500C5AF6">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第一条 工程概况 </w:t>
      </w:r>
    </w:p>
    <w:p w14:paraId="311F37F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1．工程名称</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rPr>
        <w:t xml:space="preserve"> </w:t>
      </w:r>
    </w:p>
    <w:p w14:paraId="35718EC8">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2．工程地点：</w:t>
      </w:r>
      <w:r>
        <w:rPr>
          <w:rFonts w:hint="eastAsia" w:asciiTheme="minorEastAsia" w:hAnsiTheme="minorEastAsia" w:eastAsiaTheme="minorEastAsia" w:cstheme="minorEastAsia"/>
          <w:sz w:val="24"/>
          <w:szCs w:val="24"/>
          <w:highlight w:val="none"/>
          <w:u w:val="single"/>
        </w:rPr>
        <w:t>广州市天河区奥体南路399号</w:t>
      </w:r>
      <w:r>
        <w:rPr>
          <w:rFonts w:hint="eastAsia" w:asciiTheme="minorEastAsia" w:hAnsiTheme="minorEastAsia" w:eastAsiaTheme="minorEastAsia" w:cstheme="minorEastAsia"/>
          <w:sz w:val="24"/>
          <w:szCs w:val="24"/>
          <w:highlight w:val="none"/>
        </w:rPr>
        <w:t xml:space="preserve">； </w:t>
      </w:r>
    </w:p>
    <w:p w14:paraId="1F46A1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3．工程计划批准单位及文号</w:t>
      </w:r>
      <w:r>
        <w:rPr>
          <w:rFonts w:hint="eastAsia" w:asciiTheme="minorEastAsia" w:hAnsiTheme="minorEastAsia" w:eastAsiaTheme="minorEastAsia" w:cstheme="minorEastAsia"/>
          <w:sz w:val="24"/>
          <w:szCs w:val="24"/>
          <w:highlight w:val="none"/>
          <w:u w:val="single"/>
        </w:rPr>
        <w:t xml:space="preserve">    /   </w:t>
      </w:r>
      <w:r>
        <w:rPr>
          <w:rFonts w:hint="eastAsia" w:asciiTheme="minorEastAsia" w:hAnsiTheme="minorEastAsia" w:eastAsiaTheme="minorEastAsia" w:cstheme="minorEastAsia"/>
          <w:sz w:val="24"/>
          <w:szCs w:val="24"/>
          <w:highlight w:val="none"/>
        </w:rPr>
        <w:t xml:space="preserve">； </w:t>
      </w:r>
    </w:p>
    <w:p w14:paraId="260C2EBE">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4．工程范围和内容：</w:t>
      </w:r>
      <w:r>
        <w:rPr>
          <w:rFonts w:hint="eastAsia" w:asciiTheme="minorEastAsia" w:hAnsiTheme="minorEastAsia" w:eastAsiaTheme="minorEastAsia" w:cstheme="minorEastAsia"/>
          <w:sz w:val="24"/>
          <w:szCs w:val="24"/>
          <w:highlight w:val="none"/>
          <w:lang w:eastAsia="zh-CN"/>
        </w:rPr>
        <w:t>计算机专修室整体环境改造，满足高校计算机室建设规范要求</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yellow"/>
        </w:rPr>
        <w:t>本项目为合同总价包干，合同包干总价包含但不限于：人工费、主材 / 辅材 / 设备采购、运输装卸、安装、深化设计、管线配套、辅料螺丝配件、检测试验、安全文明施工、临时设施、机械租赁、管理费、利润、税金、保险、成品保护、系统调试、验收取证、培训、质保维修、垃圾清运、协调费、措施费、政策性调价、材料涨跌价、工程量清单</w:t>
      </w:r>
      <w:r>
        <w:rPr>
          <w:rFonts w:hint="eastAsia" w:asciiTheme="minorEastAsia" w:hAnsiTheme="minorEastAsia" w:eastAsiaTheme="minorEastAsia" w:cstheme="minorEastAsia"/>
          <w:sz w:val="24"/>
          <w:szCs w:val="24"/>
          <w:highlight w:val="yellow"/>
          <w:lang w:val="en-US" w:eastAsia="zh-CN"/>
        </w:rPr>
        <w:t>和施工图</w:t>
      </w:r>
      <w:r>
        <w:rPr>
          <w:rFonts w:hint="eastAsia" w:asciiTheme="minorEastAsia" w:hAnsiTheme="minorEastAsia" w:eastAsiaTheme="minorEastAsia" w:cstheme="minorEastAsia"/>
          <w:sz w:val="24"/>
          <w:szCs w:val="24"/>
          <w:highlight w:val="yellow"/>
        </w:rPr>
        <w:t>内漏项缺项、工艺增加工序等所有为完成本项目全部功能所需的一切费用，甲方无需额外支付任何其他款项。</w:t>
      </w:r>
      <w:r>
        <w:rPr>
          <w:rFonts w:hint="eastAsia" w:asciiTheme="minorEastAsia" w:hAnsiTheme="minorEastAsia" w:eastAsiaTheme="minorEastAsia" w:cstheme="minorEastAsia"/>
          <w:sz w:val="24"/>
          <w:szCs w:val="24"/>
          <w:highlight w:val="none"/>
        </w:rPr>
        <w:t xml:space="preserve">（各单项工程详见工程项目一览表） </w:t>
      </w:r>
    </w:p>
    <w:p w14:paraId="56B5C028">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第二条 工程期限 </w:t>
      </w:r>
    </w:p>
    <w:p w14:paraId="291E20B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color w:val="auto"/>
          <w:sz w:val="24"/>
          <w:szCs w:val="24"/>
          <w:highlight w:val="none"/>
        </w:rPr>
        <w:t>本工程合同总工期为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天（</w:t>
      </w:r>
      <w:r>
        <w:rPr>
          <w:rFonts w:hint="eastAsia" w:asciiTheme="minorEastAsia" w:hAnsiTheme="minorEastAsia" w:eastAsiaTheme="minorEastAsia" w:cstheme="minorEastAsia"/>
          <w:sz w:val="24"/>
          <w:szCs w:val="24"/>
          <w:highlight w:val="none"/>
        </w:rPr>
        <w:t>日历天，从开工之日算起）。</w:t>
      </w:r>
    </w:p>
    <w:p w14:paraId="2E28B118">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2．本工程开工日期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日，竣工日期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 具体开工日期以监理（如有）单位发出的开工令为准。</w:t>
      </w:r>
    </w:p>
    <w:p w14:paraId="6C2335CF">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3．如遇下列情况，经发包方现场监理工程师或工程师代表签证后，工期作相应顺延，并用书面形式确定顺延期限。 </w:t>
      </w:r>
    </w:p>
    <w:p w14:paraId="421FF32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（1）发包方在合同规定开工日期前</w:t>
      </w:r>
      <w:r>
        <w:rPr>
          <w:rFonts w:hint="eastAsia" w:asciiTheme="minorEastAsia" w:hAnsiTheme="minorEastAsia" w:eastAsiaTheme="minorEastAsia" w:cstheme="minorEastAsia"/>
          <w:sz w:val="24"/>
          <w:szCs w:val="24"/>
          <w:highlight w:val="none"/>
          <w:u w:val="single"/>
        </w:rPr>
        <w:t>3</w:t>
      </w:r>
      <w:r>
        <w:rPr>
          <w:rFonts w:hint="eastAsia" w:asciiTheme="minorEastAsia" w:hAnsiTheme="minorEastAsia" w:eastAsiaTheme="minorEastAsia" w:cstheme="minorEastAsia"/>
          <w:sz w:val="24"/>
          <w:szCs w:val="24"/>
          <w:highlight w:val="none"/>
        </w:rPr>
        <w:t xml:space="preserve">天，不能交承包方施工场地、进场道路、施工用水，或电源未按规定接通，影响承包方进场施工。 </w:t>
      </w:r>
    </w:p>
    <w:p w14:paraId="3321FC1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（2）明确由发包方负责供应的材料、设备、成品或半成品等未能按双方认定的时间进场，或进场的材料、设备、成品或半成品等向承包方交验时发现有缺陷，需要修配、改、代、换而耽误施工进度。 </w:t>
      </w:r>
    </w:p>
    <w:p w14:paraId="7575FB7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（3）不属包干系数范围内的重大设计变更；提供的工程地质资料不准，使基础超深；施工方法与设计规定不符而增加工程量影响进度。 </w:t>
      </w:r>
    </w:p>
    <w:p w14:paraId="18FA84B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（4）在施工中因停水、停电连续影响8小时以上。 </w:t>
      </w:r>
    </w:p>
    <w:p w14:paraId="21E898E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（5）发包方现场监理工程师或工程师代表无故拖延办理签证手续而影响下一工序施工。 </w:t>
      </w:r>
    </w:p>
    <w:p w14:paraId="08064316">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 xml:space="preserve">）因遇不可抗拒的自然灾害（如台风、水灾、自然原因发生的火灾、地震等）而影响工程进度。 </w:t>
      </w:r>
    </w:p>
    <w:p w14:paraId="404A3501">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第三条 工程合同总价 </w:t>
      </w:r>
    </w:p>
    <w:p w14:paraId="360DB651">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1．本合同采取</w:t>
      </w:r>
      <w:r>
        <w:rPr>
          <w:rFonts w:hint="eastAsia" w:asciiTheme="minorEastAsia" w:hAnsiTheme="minorEastAsia" w:eastAsiaTheme="minorEastAsia" w:cstheme="minorEastAsia"/>
          <w:sz w:val="24"/>
          <w:szCs w:val="24"/>
          <w:highlight w:val="yellow"/>
          <w:lang w:val="en-US" w:eastAsia="zh-CN"/>
        </w:rPr>
        <w:t>合同总价</w:t>
      </w:r>
      <w:r>
        <w:rPr>
          <w:rFonts w:hint="eastAsia" w:asciiTheme="minorEastAsia" w:hAnsiTheme="minorEastAsia" w:eastAsiaTheme="minorEastAsia" w:cstheme="minorEastAsia"/>
          <w:sz w:val="24"/>
          <w:szCs w:val="24"/>
          <w:highlight w:val="none"/>
        </w:rPr>
        <w:t>包干的方式，合同总价为</w:t>
      </w:r>
      <w:r>
        <w:rPr>
          <w:rFonts w:hint="eastAsia" w:asciiTheme="minorEastAsia" w:hAnsiTheme="minorEastAsia" w:eastAsiaTheme="minorEastAsia" w:cstheme="minorEastAsia"/>
          <w:color w:val="000000"/>
          <w:sz w:val="24"/>
          <w:szCs w:val="24"/>
          <w:highlight w:val="none"/>
          <w:shd w:val="clear" w:color="auto" w:fill="FFFFFF"/>
        </w:rPr>
        <w:t>人民币</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sz w:val="24"/>
          <w:szCs w:val="24"/>
          <w:highlight w:val="none"/>
        </w:rPr>
        <w:t>元</w:t>
      </w:r>
      <w:r>
        <w:rPr>
          <w:rFonts w:hint="eastAsia" w:asciiTheme="minorEastAsia" w:hAnsiTheme="minorEastAsia" w:eastAsiaTheme="minorEastAsia" w:cstheme="minorEastAsia"/>
          <w:color w:val="000000"/>
          <w:sz w:val="24"/>
          <w:szCs w:val="24"/>
          <w:highlight w:val="none"/>
          <w:shd w:val="clear" w:color="auto" w:fill="FFFFFF"/>
        </w:rPr>
        <w:t>（￥</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shd w:val="clear" w:color="auto" w:fill="FFFFFF"/>
        </w:rPr>
        <w:t>元）</w:t>
      </w:r>
      <w:r>
        <w:rPr>
          <w:rFonts w:hint="eastAsia" w:asciiTheme="minorEastAsia" w:hAnsiTheme="minorEastAsia" w:eastAsiaTheme="minorEastAsia" w:cstheme="minorEastAsia"/>
          <w:sz w:val="24"/>
          <w:szCs w:val="24"/>
          <w:highlight w:val="none"/>
        </w:rPr>
        <w:t xml:space="preserve">。 </w:t>
      </w:r>
    </w:p>
    <w:p w14:paraId="6483B6D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履约保证金：承包方自合同签订之日起15个工作日内向发包方一次缴纳中标价格的5%作为履约保证金（或出具履约保函），项目竣工并经组织验收合格后且收到承包方书面申请的15个工作日内无息返还（或退还履约保函）。</w:t>
      </w:r>
    </w:p>
    <w:p w14:paraId="4703742E">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第四条 材料、设备供应 </w:t>
      </w:r>
    </w:p>
    <w:p w14:paraId="00BCDAC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1．本工程所需的全部建筑材料、构配件、设备等物资由承包方供应。 </w:t>
      </w:r>
    </w:p>
    <w:p w14:paraId="7E97383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2．材料、设备供应范围的划分和检验： </w:t>
      </w:r>
    </w:p>
    <w:p w14:paraId="498EF88F">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（1）本工程所需材料、设备均由承包方组织供应。</w:t>
      </w:r>
    </w:p>
    <w:p w14:paraId="568E15D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（2）所有材料设备、成品、半成品均应附有合格证，都要检查验收，签交物资验收合格单方可进场，已进场的物资未经发包方许可签署出场证书，不得运出场外。</w:t>
      </w:r>
    </w:p>
    <w:p w14:paraId="67DEFDE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（3）已进场的物资，若发现有不合格者，供料一方必须迅速将其运出场外，材料进场前需与甲方确认。</w:t>
      </w:r>
    </w:p>
    <w:p w14:paraId="74A1410A">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（4）具有合格证书的建筑材料、设备，任何一方如有异议要求检验时，可以重新检验，检验后如属合格产品，其检验费用由要求检验的一方承担；如属不合格产品，检验费用由供料一方负担。</w:t>
      </w:r>
    </w:p>
    <w:p w14:paraId="669A844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（5）没有合格证书，且未经试验鉴定或经过试验鉴定为不合格的建筑材料、设备、构配件等，双方均不得用于本工程。若属材料人员失职或其它原因造成不良后果，由责任一方负责。</w:t>
      </w:r>
    </w:p>
    <w:p w14:paraId="21962C86">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（6）任何一方强迫对方使用不合格的建筑材料、设备和构配件于本工程的，都要签证记录在案，由此引起的一切后果由强迫一方负责。</w:t>
      </w:r>
    </w:p>
    <w:p w14:paraId="61592F22">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第五条 工程质量和检查验收 </w:t>
      </w:r>
    </w:p>
    <w:p w14:paraId="147B7E4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1．承包方必须严格按施工图纸、说明文件和国家颁发的有关规范、规程进行施工，并接受发包方现场监理工程师或工程师代表的监督检查。 </w:t>
      </w:r>
    </w:p>
    <w:p w14:paraId="5507280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2．发包方聘用的现场监理工程师或工程师代表，必须以书面通知承包方其姓名、身份、所承担的任务。 </w:t>
      </w:r>
    </w:p>
    <w:p w14:paraId="7AE808F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3．承包方确定的施工现场负责人及技术负责人、专门技术人员及管理人员，必须以书面形式将其姓名、身份、所分担的工作通知监理工程师或工程师代表。 </w:t>
      </w:r>
    </w:p>
    <w:p w14:paraId="5A377CF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4．承包方应按工程进度，及时提供关于工程质量的技术资料，如材料、设备合格证、试验、试压、测试、报告等的影印件。材料代用必须经过设计单位和发包方同意并签证后，方可使用。 </w:t>
      </w:r>
    </w:p>
    <w:p w14:paraId="146BC2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隐蔽工程由承包方自检后，填写《隐蔽工程验收单》通知现场监理工程师或工程师代表检查验收，监理工程师接到通知后12小时内应到现场检验，认可签证后，方可进行下一工序施工。监理工程师未接的检查验收，承包方经具有资质的质量检查部门检验确认合格后，即可隐蔽继续施工，发包方应予承认并办理检验合格手续。如提出异议，经复查合格者，其费用由发包方负责；不合格者，由承包方负责，因此而造成工期损失由责任方负责。 </w:t>
      </w:r>
    </w:p>
    <w:p w14:paraId="1294385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6．电气照明、通风、水暖、卫生工程和机电安装工程竣工后，必须按照 </w:t>
      </w:r>
    </w:p>
    <w:p w14:paraId="31EC602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none"/>
        </w:rPr>
        <w:t>《建筑电气工程施工质量验收规范》GB50303-2002；</w:t>
      </w:r>
      <w:r>
        <w:rPr>
          <w:rFonts w:hint="eastAsia" w:asciiTheme="minorEastAsia" w:hAnsiTheme="minorEastAsia" w:eastAsiaTheme="minorEastAsia" w:cstheme="minorEastAsia"/>
          <w:sz w:val="24"/>
          <w:szCs w:val="24"/>
          <w:highlight w:val="none"/>
        </w:rPr>
        <w:t xml:space="preserve">（2）《建筑给排水及采暖工程施工质量验收规范》GB50242-2002；（3）《建筑通风与空调工程施工质量验收规范》GB50243-2002的规定执行。 </w:t>
      </w:r>
    </w:p>
    <w:p w14:paraId="5599557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7．设备安装工程，由承包方会同发包方将已完工程（设备基础）向安装单位办理中间交工手续，并作为竣工验收的依据。 </w:t>
      </w:r>
    </w:p>
    <w:p w14:paraId="63497D5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8．工程竣工验收，应以施工图纸、图说、技术交底纪要、设计更改通知、国家颁发的施工验收规范和质量检验标准为依据。 </w:t>
      </w:r>
    </w:p>
    <w:p w14:paraId="40C84C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9．工程竣工后，承包方按规定整理提供完整的技术档案资料，并发出竣工通知书，经双方协商确定验收时间，由发包方组织有关单位进行竣工验收。 验收合格后，双方签署交工验收证书，并将工程移交给发包方管理。 交工验收中如发现有不符质量要求，需要返工的工程，应分清责任。属施工原因造成的，按双方验收时商定的时间，由承包方负责修好再进行检验。竣工日期以最后检验合格的日期为准。 </w:t>
      </w:r>
    </w:p>
    <w:p w14:paraId="671E31C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10．已竣工未验收工程，在交工前由承包方负责保管，发包方不得动用，若发包方已经使用，即视同交验。由于承包方原因，应交工验收而不交不验的工程，除按拖延工期条款处理外，并赔偿因此而造成的经济损失。 </w:t>
      </w:r>
    </w:p>
    <w:p w14:paraId="5A446C51">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11．工程交工验收后，按《建筑工程质量管理条例》执行，其中水管和主机的质量保修期为2年</w:t>
      </w:r>
      <w:r>
        <w:rPr>
          <w:rFonts w:hint="eastAsia" w:asciiTheme="minorEastAsia" w:hAnsiTheme="minorEastAsia" w:eastAsiaTheme="minorEastAsia" w:cstheme="minorEastAsia"/>
          <w:bCs/>
          <w:sz w:val="24"/>
          <w:szCs w:val="24"/>
          <w:highlight w:val="none"/>
        </w:rPr>
        <w:t>（防水工程等部分按国家相关规定执行,且国家相关规定优于本项目质保期要求的，按国家相关规定执行）</w:t>
      </w:r>
      <w:r>
        <w:rPr>
          <w:rFonts w:hint="eastAsia" w:asciiTheme="minorEastAsia" w:hAnsiTheme="minorEastAsia" w:eastAsiaTheme="minorEastAsia" w:cstheme="minorEastAsia"/>
          <w:sz w:val="24"/>
          <w:szCs w:val="24"/>
          <w:highlight w:val="none"/>
        </w:rPr>
        <w:t>。保修证书在交工验收后由承包方填写交给发包方。 由施工造成的工程质量问题，发包方应书面通知承包方并约定时间进行修理。在保修期内承包方拒不修理时，发包方可动用预留保修款请人修理，超支部分应由承包方负担。</w:t>
      </w:r>
    </w:p>
    <w:p w14:paraId="3C2EACD6">
      <w:pPr>
        <w:keepNext w:val="0"/>
        <w:keepLines w:val="0"/>
        <w:pageBreakBefore w:val="0"/>
        <w:widowControl/>
        <w:kinsoku/>
        <w:wordWrap/>
        <w:overflowPunct/>
        <w:topLinePunct w:val="0"/>
        <w:autoSpaceDE w:val="0"/>
        <w:autoSpaceDN w:val="0"/>
        <w:bidi w:val="0"/>
        <w:adjustRightInd w:val="0"/>
        <w:snapToGrid w:val="0"/>
        <w:spacing w:line="360" w:lineRule="auto"/>
        <w:ind w:left="394" w:hanging="393" w:hangingChars="1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12．承包方在施工中须确保工人服从发包方管理，不能随意离开施工现场，不得进入学生休息活动区，必须佩戴安全帽和不得光膀。</w:t>
      </w:r>
    </w:p>
    <w:p w14:paraId="14BAC274">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第六条 施工设计变更 </w:t>
      </w:r>
    </w:p>
    <w:p w14:paraId="7B29EEB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1．发包方交付的设计图纸、说明和有关技术资料，均为施工的有效依据，发包方、承包方均不得擅自修改。 </w:t>
      </w:r>
    </w:p>
    <w:p w14:paraId="649165B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2．施工图的重大修改变更，必须经原批准、设计单位同意，并于修改前</w:t>
      </w:r>
      <w:r>
        <w:rPr>
          <w:rFonts w:hint="eastAsia" w:asciiTheme="minorEastAsia" w:hAnsiTheme="minorEastAsia" w:eastAsiaTheme="minorEastAsia" w:cstheme="minorEastAsia"/>
          <w:sz w:val="24"/>
          <w:szCs w:val="24"/>
          <w:highlight w:val="none"/>
          <w:u w:val="single"/>
        </w:rPr>
        <w:t>7</w:t>
      </w:r>
      <w:r>
        <w:rPr>
          <w:rFonts w:hint="eastAsia" w:asciiTheme="minorEastAsia" w:hAnsiTheme="minorEastAsia" w:eastAsiaTheme="minorEastAsia" w:cstheme="minorEastAsia"/>
          <w:sz w:val="24"/>
          <w:szCs w:val="24"/>
          <w:highlight w:val="none"/>
        </w:rPr>
        <w:t xml:space="preserve">天办理设计修改议定单。设计修改议定单经发包方签证后，承包方才予实施。议定单和修改图纸发出份数与施工图份数相同，并作为合同的补充文件。  </w:t>
      </w:r>
    </w:p>
    <w:p w14:paraId="3768BF8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．承包方在保证工程质量和不降低设计标准的前提下，提出修改设计的合理化建议，经发包方、设计单位或有关技术部门同意后实施，其节约的价值按国家有关规定分配。 </w:t>
      </w:r>
    </w:p>
    <w:p w14:paraId="2C1B27C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 xml:space="preserve">．在工程施工中发生下列各项事实之一时，承包方必须立即以书面通知发包方，要求确认： </w:t>
      </w:r>
    </w:p>
    <w:p w14:paraId="5831669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（1）设计图纸和说明文件与工程现场状况不一致，如地质、地下水情况等，设计文件所标明的施工条件与实际不符； </w:t>
      </w:r>
    </w:p>
    <w:p w14:paraId="3B0621B5">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（2）设计图纸和设计文件表示不明确或有错误及遗漏，图纸与说明书不符； </w:t>
      </w:r>
    </w:p>
    <w:p w14:paraId="0445868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（3）设计图纸和说明文件中未标明的施工条件发生了预料不到的特殊困难等。 </w:t>
      </w:r>
    </w:p>
    <w:p w14:paraId="56ABE114">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确认的事实必须在限期内解决。不能如期解决而造成停工的，工期损失由发包方承担。 </w:t>
      </w:r>
    </w:p>
    <w:p w14:paraId="66AC0DB6">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第七条 双方负责事项 </w:t>
      </w:r>
    </w:p>
    <w:p w14:paraId="7B90437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1．发包方 </w:t>
      </w:r>
    </w:p>
    <w:p w14:paraId="0987072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（1）办理土地征用、青苗、树木的赔偿，坟地迁移、房屋拆迁、障碍物的拆除（包括架空及隐蔽的），并提供有关隐蔽、障碍物资料； </w:t>
      </w:r>
    </w:p>
    <w:p w14:paraId="08F945C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（2）在开工前做好建筑红线以外的“三通”和红线以内的场地平整；提供距离施工现场 500 米以内的水、电源联结点，以便承包方按表计费；负责红线以外进场道路的维修； </w:t>
      </w:r>
    </w:p>
    <w:p w14:paraId="1FAB4F5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（3）根据施工地区供水、供电、水压、电压情况，采取措施满足施工用水、用电的需要； </w:t>
      </w:r>
    </w:p>
    <w:p w14:paraId="32C8A63E">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（4）合同签订后</w:t>
      </w:r>
      <w:r>
        <w:rPr>
          <w:rFonts w:hint="eastAsia" w:asciiTheme="minorEastAsia" w:hAnsiTheme="minorEastAsia" w:eastAsiaTheme="minorEastAsia" w:cstheme="minorEastAsia"/>
          <w:sz w:val="24"/>
          <w:szCs w:val="24"/>
          <w:highlight w:val="none"/>
          <w:u w:val="single"/>
        </w:rPr>
        <w:t>5</w:t>
      </w:r>
      <w:r>
        <w:rPr>
          <w:rFonts w:hint="eastAsia" w:asciiTheme="minorEastAsia" w:hAnsiTheme="minorEastAsia" w:eastAsiaTheme="minorEastAsia" w:cstheme="minorEastAsia"/>
          <w:sz w:val="24"/>
          <w:szCs w:val="24"/>
          <w:highlight w:val="none"/>
        </w:rPr>
        <w:t>天内（以收签最后一张图纸为准）向承包方提供完整的建筑安装施工技术资料</w:t>
      </w:r>
      <w:r>
        <w:rPr>
          <w:rFonts w:hint="eastAsia" w:asciiTheme="minorEastAsia" w:hAnsiTheme="minorEastAsia" w:eastAsiaTheme="minorEastAsia" w:cstheme="minorEastAsia"/>
          <w:sz w:val="24"/>
          <w:szCs w:val="24"/>
          <w:highlight w:val="none"/>
          <w:u w:val="single"/>
        </w:rPr>
        <w:t>2</w:t>
      </w:r>
      <w:r>
        <w:rPr>
          <w:rFonts w:hint="eastAsia" w:asciiTheme="minorEastAsia" w:hAnsiTheme="minorEastAsia" w:eastAsiaTheme="minorEastAsia" w:cstheme="minorEastAsia"/>
          <w:sz w:val="24"/>
          <w:szCs w:val="24"/>
          <w:highlight w:val="none"/>
        </w:rPr>
        <w:t xml:space="preserve">套； </w:t>
      </w:r>
    </w:p>
    <w:p w14:paraId="6718AAC5">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（5）确定建筑物（或构筑物）道路、线路、上下水道的定位标桩、水准点和坐标控制点； </w:t>
      </w:r>
    </w:p>
    <w:p w14:paraId="6AEB837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（6）组织承发包双方和设计单位参加的施工图纸交底，并做好三方签署的交底纪要，并在</w:t>
      </w:r>
      <w:r>
        <w:rPr>
          <w:rFonts w:hint="eastAsia" w:asciiTheme="minorEastAsia" w:hAnsiTheme="minorEastAsia" w:eastAsiaTheme="minorEastAsia" w:cstheme="minorEastAsia"/>
          <w:sz w:val="24"/>
          <w:szCs w:val="24"/>
          <w:highlight w:val="none"/>
          <w:u w:val="single"/>
        </w:rPr>
        <w:t xml:space="preserve">  7  </w:t>
      </w:r>
      <w:r>
        <w:rPr>
          <w:rFonts w:hint="eastAsia" w:asciiTheme="minorEastAsia" w:hAnsiTheme="minorEastAsia" w:eastAsiaTheme="minorEastAsia" w:cstheme="minorEastAsia"/>
          <w:sz w:val="24"/>
          <w:szCs w:val="24"/>
          <w:highlight w:val="none"/>
        </w:rPr>
        <w:t xml:space="preserve">天内分送有关单位； </w:t>
      </w:r>
    </w:p>
    <w:p w14:paraId="6F20447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（7）审核承包方工程进度月报，及时向承包方支付工程进度款（寒暑假等特殊时期除外）； </w:t>
      </w:r>
    </w:p>
    <w:p w14:paraId="7584694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（8）按《发包方供应的材料、设备明细表》确定的供应时间及时组织供应，应由发包方提供材料、设备以满足工程进度的需要； </w:t>
      </w:r>
    </w:p>
    <w:p w14:paraId="355C643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（9）派驻施工现场的监理工程师或工程师代表，对工程进度、工程质量、隐蔽工程和合同执行进行监督检查，负责设计图纸问题的处理，设计变更的签证，工程中间验收、工程进度拨款签证和其它必须的签证； </w:t>
      </w:r>
    </w:p>
    <w:p w14:paraId="5351635F">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（10）组织对工程的竣工验收，并按合同规定日期配合承包方办好决算工作，及时了结工程财务和工程尾款。 </w:t>
      </w:r>
    </w:p>
    <w:p w14:paraId="63907F1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2．承包方 </w:t>
      </w:r>
    </w:p>
    <w:p w14:paraId="0389023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（1）施工场地的平整、施工界区以内的用水、用电、道路和临时设施的施工，施工单位要加强施工管理，做好安全防护，对施工现场及施工过程中的人员安全负责。</w:t>
      </w:r>
    </w:p>
    <w:p w14:paraId="0A277C1E">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（2）编制施工组织设计（或施工方案），施工总进度计划、材料设备、成品、半成品等进场计划，用水、用电计划、开竣工通知书、隐蔽工程验收单等，并及时送发包方及有关单位； </w:t>
      </w:r>
    </w:p>
    <w:p w14:paraId="73C934A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（3）按双方商定的分工范围，做好材料和设备的采购、供应和管理； </w:t>
      </w:r>
    </w:p>
    <w:p w14:paraId="6D913983">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（4）于每月底前3天向发包方报送月度施工计划，属发包方供应的材料、设备供应计划和当月工程进度月报（包括工程量、工作量和形象进度等）； </w:t>
      </w:r>
    </w:p>
    <w:p w14:paraId="64BE0360">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（5）严格按照施工图与说明书进行施工，确保工程质量，按合同规定的时间如期完工和交付； </w:t>
      </w:r>
    </w:p>
    <w:p w14:paraId="24D64E7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（6）已完工的房屋、构筑物和安装的设备，在交工前应负责保管，并清理好场地； </w:t>
      </w:r>
    </w:p>
    <w:p w14:paraId="7320618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（7）提供竣工验收技术资料，办理工程竣工结算，参加竣工验收； </w:t>
      </w:r>
    </w:p>
    <w:p w14:paraId="7054DD8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（8）在合同规定的保修期内，对属于承包方负责的工作质量问题，负责无偿修理。 </w:t>
      </w:r>
    </w:p>
    <w:p w14:paraId="379AB72E">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第八条 工程价款的支付与结算 </w:t>
      </w:r>
    </w:p>
    <w:p w14:paraId="79966C3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yellow"/>
        </w:rPr>
        <w:t>签订合同后，在收到承包方履约保证金（或履约保函）和正式发票后的15个工作日内支付合同价的</w:t>
      </w:r>
      <w:r>
        <w:rPr>
          <w:rFonts w:hint="eastAsia" w:asciiTheme="minorEastAsia" w:hAnsiTheme="minorEastAsia" w:eastAsiaTheme="minorEastAsia" w:cstheme="minorEastAsia"/>
          <w:sz w:val="24"/>
          <w:szCs w:val="24"/>
          <w:highlight w:val="yellow"/>
          <w:lang w:val="en-US" w:eastAsia="zh-CN"/>
        </w:rPr>
        <w:t>50</w:t>
      </w:r>
      <w:r>
        <w:rPr>
          <w:rFonts w:hint="eastAsia" w:asciiTheme="minorEastAsia" w:hAnsiTheme="minorEastAsia" w:eastAsiaTheme="minorEastAsia" w:cstheme="minorEastAsia"/>
          <w:sz w:val="24"/>
          <w:szCs w:val="24"/>
          <w:highlight w:val="yellow"/>
        </w:rPr>
        <w:t>%作为工程预付款；工程完工并竣工验收合格</w:t>
      </w:r>
      <w:r>
        <w:rPr>
          <w:rFonts w:hint="eastAsia" w:asciiTheme="minorEastAsia" w:hAnsiTheme="minorEastAsia" w:eastAsiaTheme="minorEastAsia" w:cstheme="minorEastAsia"/>
          <w:sz w:val="24"/>
          <w:szCs w:val="24"/>
          <w:highlight w:val="yellow"/>
          <w:lang w:val="en-US" w:eastAsia="zh-CN"/>
        </w:rPr>
        <w:t>，经</w:t>
      </w:r>
      <w:r>
        <w:rPr>
          <w:rFonts w:hint="eastAsia" w:asciiTheme="minorEastAsia" w:hAnsiTheme="minorEastAsia" w:eastAsiaTheme="minorEastAsia" w:cstheme="minorEastAsia"/>
          <w:sz w:val="24"/>
          <w:szCs w:val="24"/>
          <w:highlight w:val="yellow"/>
        </w:rPr>
        <w:t>项目结算审计</w:t>
      </w:r>
      <w:r>
        <w:rPr>
          <w:rFonts w:hint="eastAsia" w:asciiTheme="minorEastAsia" w:hAnsiTheme="minorEastAsia" w:eastAsiaTheme="minorEastAsia" w:cstheme="minorEastAsia"/>
          <w:sz w:val="24"/>
          <w:szCs w:val="24"/>
          <w:highlight w:val="yellow"/>
          <w:lang w:val="en-US" w:eastAsia="zh-CN"/>
        </w:rPr>
        <w:t>后</w:t>
      </w:r>
      <w:r>
        <w:rPr>
          <w:rFonts w:hint="eastAsia" w:asciiTheme="minorEastAsia" w:hAnsiTheme="minorEastAsia" w:eastAsiaTheme="minorEastAsia" w:cstheme="minorEastAsia"/>
          <w:sz w:val="24"/>
          <w:szCs w:val="24"/>
          <w:highlight w:val="yellow"/>
        </w:rPr>
        <w:t>，由承包方向发包方账户转入审定金额的3%作为项目质量保证金，发包方再向承包方累计支付至结算审定金额的100%。</w:t>
      </w:r>
    </w:p>
    <w:p w14:paraId="67E247F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 xml:space="preserve">．本工程造价结算方式按下列情况办理： </w:t>
      </w:r>
    </w:p>
    <w:p w14:paraId="12875E2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本合同采取</w:t>
      </w:r>
      <w:r>
        <w:rPr>
          <w:rFonts w:hint="eastAsia" w:asciiTheme="minorEastAsia" w:hAnsiTheme="minorEastAsia" w:eastAsiaTheme="minorEastAsia" w:cstheme="minorEastAsia"/>
          <w:sz w:val="24"/>
          <w:szCs w:val="24"/>
          <w:highlight w:val="none"/>
          <w:lang w:val="en-US" w:eastAsia="zh-CN"/>
        </w:rPr>
        <w:t>总价</w:t>
      </w:r>
      <w:r>
        <w:rPr>
          <w:rFonts w:hint="eastAsia" w:asciiTheme="minorEastAsia" w:hAnsiTheme="minorEastAsia" w:eastAsiaTheme="minorEastAsia" w:cstheme="minorEastAsia"/>
          <w:sz w:val="24"/>
          <w:szCs w:val="24"/>
          <w:highlight w:val="none"/>
        </w:rPr>
        <w:t xml:space="preserve">包干的方式；  </w:t>
      </w:r>
    </w:p>
    <w:p w14:paraId="5E8AC284">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承包人在工程竣工验收后 </w:t>
      </w:r>
      <w:r>
        <w:rPr>
          <w:rFonts w:hint="eastAsia" w:asciiTheme="minorEastAsia" w:hAnsiTheme="minorEastAsia" w:eastAsiaTheme="minorEastAsia" w:cstheme="minorEastAsia"/>
          <w:sz w:val="24"/>
          <w:szCs w:val="24"/>
          <w:highlight w:val="none"/>
          <w:u w:val="single"/>
        </w:rPr>
        <w:t xml:space="preserve"> 20 </w:t>
      </w:r>
      <w:r>
        <w:rPr>
          <w:rFonts w:hint="eastAsia" w:asciiTheme="minorEastAsia" w:hAnsiTheme="minorEastAsia" w:eastAsiaTheme="minorEastAsia" w:cstheme="minorEastAsia"/>
          <w:sz w:val="24"/>
          <w:szCs w:val="24"/>
          <w:highlight w:val="none"/>
        </w:rPr>
        <w:t>天内，将竣工结算文件送交发包人审查，发包人在接到结算文件</w:t>
      </w:r>
      <w:r>
        <w:rPr>
          <w:rFonts w:hint="eastAsia" w:asciiTheme="minorEastAsia" w:hAnsiTheme="minorEastAsia" w:eastAsiaTheme="minorEastAsia" w:cstheme="minorEastAsia"/>
          <w:sz w:val="24"/>
          <w:szCs w:val="24"/>
          <w:highlight w:val="none"/>
          <w:u w:val="single"/>
        </w:rPr>
        <w:t>60</w:t>
      </w:r>
      <w:r>
        <w:rPr>
          <w:rFonts w:hint="eastAsia" w:asciiTheme="minorEastAsia" w:hAnsiTheme="minorEastAsia" w:eastAsiaTheme="minorEastAsia" w:cstheme="minorEastAsia"/>
          <w:sz w:val="24"/>
          <w:szCs w:val="24"/>
          <w:highlight w:val="none"/>
        </w:rPr>
        <w:t>天内审查完毕，如到期未提出异议，即按审定后的结算价支付。</w:t>
      </w:r>
    </w:p>
    <w:p w14:paraId="76B534D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第九条 违约责任</w:t>
      </w:r>
    </w:p>
    <w:p w14:paraId="6968545B">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1．承包方的责任 </w:t>
      </w:r>
    </w:p>
    <w:p w14:paraId="4AFDE26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（1）工程质量不符合合同约定的，负责无偿修理或返工。由于修理返工造成逾期交付的，每逾期一日，按合同总价的1‰偿付逾期违约金。</w:t>
      </w:r>
    </w:p>
    <w:p w14:paraId="1BDB38E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（2）工程交付时间不符合约定，每逾期一日，按合同总价的</w:t>
      </w:r>
      <w:r>
        <w:rPr>
          <w:rFonts w:hint="eastAsia" w:asciiTheme="minorEastAsia" w:hAnsiTheme="minorEastAsia" w:eastAsiaTheme="minorEastAsia" w:cstheme="minorEastAsia"/>
          <w:sz w:val="24"/>
          <w:szCs w:val="24"/>
          <w:highlight w:val="none"/>
          <w:u w:val="single"/>
        </w:rPr>
        <w:t>1‰</w:t>
      </w:r>
      <w:r>
        <w:rPr>
          <w:rFonts w:hint="eastAsia" w:asciiTheme="minorEastAsia" w:hAnsiTheme="minorEastAsia" w:eastAsiaTheme="minorEastAsia" w:cstheme="minorEastAsia"/>
          <w:sz w:val="24"/>
          <w:szCs w:val="24"/>
          <w:highlight w:val="none"/>
        </w:rPr>
        <w:t xml:space="preserve">偿付逾期违约金。 </w:t>
      </w:r>
    </w:p>
    <w:p w14:paraId="171A0E8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2．发包方的责任 </w:t>
      </w:r>
    </w:p>
    <w:p w14:paraId="13071BA0">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（1）未能按照承包合同的规定履行自己应负的责任，竣工日期得以顺延。 </w:t>
      </w:r>
    </w:p>
    <w:p w14:paraId="04638E6B">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（2）工程中途停建、缓建或由于设计变更以及设计错误造成的停工，应采取措施弥补或减少损失。 </w:t>
      </w:r>
    </w:p>
    <w:p w14:paraId="1835830B">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（3）工程未经验收，发包方提前使用或擅自动用，由此而发生的质量或其他问题，由发包方承担责任。 </w:t>
      </w:r>
    </w:p>
    <w:p w14:paraId="3EB2F72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（4）超过合同规定日期验收，每逾期一日，按合同总价的1‰偿付逾期违约金。 </w:t>
      </w:r>
    </w:p>
    <w:p w14:paraId="2609F05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第十条 争议的解决方式 </w:t>
      </w:r>
    </w:p>
    <w:p w14:paraId="45530989">
      <w:pPr>
        <w:keepNext w:val="0"/>
        <w:keepLines w:val="0"/>
        <w:pageBreakBefore w:val="0"/>
        <w:widowControl/>
        <w:kinsoku/>
        <w:wordWrap/>
        <w:overflowPunct/>
        <w:topLinePunct w:val="0"/>
        <w:autoSpaceDE w:val="0"/>
        <w:autoSpaceDN w:val="0"/>
        <w:bidi w:val="0"/>
        <w:adjustRightInd w:val="0"/>
        <w:snapToGrid w:val="0"/>
        <w:spacing w:line="360" w:lineRule="auto"/>
        <w:ind w:left="363"/>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合同执行过程中如发生争议，双方应协商解决。协商不成时，双方均可直接向天河区人</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"http://www.chinalawedu.com/web/23243/" \t "_blank" \o "民法"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民法</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 xml:space="preserve">院起诉。 </w:t>
      </w:r>
    </w:p>
    <w:p w14:paraId="3A44637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第十一条 特殊条款 </w:t>
      </w:r>
    </w:p>
    <w:p w14:paraId="7D21DE18">
      <w:pPr>
        <w:keepNext w:val="0"/>
        <w:keepLines w:val="0"/>
        <w:pageBreakBefore w:val="0"/>
        <w:widowControl/>
        <w:kinsoku/>
        <w:wordWrap/>
        <w:overflowPunct/>
        <w:topLinePunct w:val="0"/>
        <w:autoSpaceDE w:val="0"/>
        <w:autoSpaceDN w:val="0"/>
        <w:bidi w:val="0"/>
        <w:adjustRightInd w:val="0"/>
        <w:snapToGrid w:val="0"/>
        <w:spacing w:line="360" w:lineRule="auto"/>
        <w:ind w:left="363"/>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本合同条款如对特殊情况有未尽事宜，双方可根据具体情况结合有关规定议定特殊条款。 </w:t>
      </w:r>
    </w:p>
    <w:p w14:paraId="7A50A2E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第十二条 附则 </w:t>
      </w:r>
    </w:p>
    <w:p w14:paraId="18D32B56">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rPr>
        <w:t xml:space="preserve">其它本合同未言明事项，按《中华人民共和国民法典》及有关规定执行。 </w:t>
      </w:r>
    </w:p>
    <w:p w14:paraId="721A457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合同附件（如有）：（1）工程项目中标工程量清单；（2）施工图预算；</w:t>
      </w:r>
    </w:p>
    <w:p w14:paraId="291D8DBF">
      <w:pPr>
        <w:keepNext w:val="0"/>
        <w:keepLines w:val="0"/>
        <w:pageBreakBefore w:val="0"/>
        <w:widowControl/>
        <w:kinsoku/>
        <w:wordWrap/>
        <w:overflowPunct/>
        <w:topLinePunct w:val="0"/>
        <w:autoSpaceDE w:val="0"/>
        <w:autoSpaceDN w:val="0"/>
        <w:bidi w:val="0"/>
        <w:adjustRightInd w:val="0"/>
        <w:snapToGrid w:val="0"/>
        <w:spacing w:line="360" w:lineRule="auto"/>
        <w:ind w:left="364" w:hanging="364"/>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（3）发包方负责供应材料、设备一览表（附表二）。上述附件（如有）均为本合同的组成部分，具有同等的</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"http://www.chinalawedu.com" \t "_blank" \o "法律"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法律</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 xml:space="preserve">效力。 </w:t>
      </w:r>
    </w:p>
    <w:p w14:paraId="2019074B">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2. </w:t>
      </w:r>
      <w:r>
        <w:rPr>
          <w:rFonts w:hint="eastAsia" w:asciiTheme="minorEastAsia" w:hAnsiTheme="minorEastAsia" w:eastAsiaTheme="minorEastAsia" w:cstheme="minorEastAsia"/>
          <w:sz w:val="24"/>
          <w:szCs w:val="24"/>
          <w:highlight w:val="none"/>
        </w:rPr>
        <w:t xml:space="preserve">本合同经双方签字盖章后生效，至合同工程竣工交验，结清工程尾款，保修期满后自然失效。 </w:t>
      </w:r>
    </w:p>
    <w:p w14:paraId="3D8778CD">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3. </w:t>
      </w:r>
      <w:r>
        <w:rPr>
          <w:rFonts w:hint="eastAsia" w:asciiTheme="minorEastAsia" w:hAnsiTheme="minorEastAsia" w:eastAsiaTheme="minorEastAsia" w:cstheme="minorEastAsia"/>
          <w:sz w:val="24"/>
          <w:szCs w:val="24"/>
          <w:highlight w:val="none"/>
        </w:rPr>
        <w:t>本合同正本</w:t>
      </w:r>
      <w:r>
        <w:rPr>
          <w:rFonts w:hint="eastAsia" w:asciiTheme="minorEastAsia" w:hAnsiTheme="minorEastAsia" w:eastAsiaTheme="minorEastAsia" w:cstheme="minorEastAsia"/>
          <w:sz w:val="24"/>
          <w:szCs w:val="24"/>
          <w:highlight w:val="none"/>
          <w:u w:val="single"/>
        </w:rPr>
        <w:t>伍</w:t>
      </w:r>
      <w:r>
        <w:rPr>
          <w:rFonts w:hint="eastAsia" w:asciiTheme="minorEastAsia" w:hAnsiTheme="minorEastAsia" w:eastAsiaTheme="minorEastAsia" w:cstheme="minorEastAsia"/>
          <w:sz w:val="24"/>
          <w:szCs w:val="24"/>
          <w:highlight w:val="none"/>
        </w:rPr>
        <w:t>份，其中发包方执</w:t>
      </w:r>
      <w:r>
        <w:rPr>
          <w:rFonts w:hint="eastAsia" w:asciiTheme="minorEastAsia" w:hAnsiTheme="minorEastAsia" w:eastAsiaTheme="minorEastAsia" w:cstheme="minorEastAsia"/>
          <w:sz w:val="24"/>
          <w:szCs w:val="24"/>
          <w:highlight w:val="none"/>
          <w:u w:val="single"/>
        </w:rPr>
        <w:t>叁</w:t>
      </w:r>
      <w:r>
        <w:rPr>
          <w:rFonts w:hint="eastAsia" w:asciiTheme="minorEastAsia" w:hAnsiTheme="minorEastAsia" w:eastAsiaTheme="minorEastAsia" w:cstheme="minorEastAsia"/>
          <w:sz w:val="24"/>
          <w:szCs w:val="24"/>
          <w:highlight w:val="none"/>
        </w:rPr>
        <w:t>份，承包方执</w:t>
      </w:r>
      <w:r>
        <w:rPr>
          <w:rFonts w:hint="eastAsia" w:asciiTheme="minorEastAsia" w:hAnsiTheme="minorEastAsia" w:eastAsiaTheme="minorEastAsia" w:cstheme="minorEastAsia"/>
          <w:sz w:val="24"/>
          <w:szCs w:val="24"/>
          <w:highlight w:val="none"/>
          <w:u w:val="single"/>
        </w:rPr>
        <w:t>贰</w:t>
      </w:r>
      <w:r>
        <w:rPr>
          <w:rFonts w:hint="eastAsia" w:asciiTheme="minorEastAsia" w:hAnsiTheme="minorEastAsia" w:eastAsiaTheme="minorEastAsia" w:cstheme="minorEastAsia"/>
          <w:sz w:val="24"/>
          <w:szCs w:val="24"/>
          <w:highlight w:val="none"/>
        </w:rPr>
        <w:t>份。</w:t>
      </w:r>
    </w:p>
    <w:p w14:paraId="4DE176B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p>
    <w:p w14:paraId="4589343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p>
    <w:p w14:paraId="4AC48421">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发包方（盖章）：中国人民警察大学（广州）    承包方（盖章）： </w:t>
      </w:r>
    </w:p>
    <w:p w14:paraId="5AF8982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地址： 广州市天河区奥体南路399号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地址： </w:t>
      </w:r>
    </w:p>
    <w:p w14:paraId="21929B5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法定代表人或授权代表（签名）：              法定代表人（签名）：</w:t>
      </w:r>
    </w:p>
    <w:p w14:paraId="0BFB1A9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委托代理人（签名）：                        委托代理人（签名）： </w:t>
      </w:r>
    </w:p>
    <w:p w14:paraId="555655C4">
      <w:pPr>
        <w:keepNext w:val="0"/>
        <w:keepLines w:val="0"/>
        <w:pageBreakBefore w:val="0"/>
        <w:widowControl/>
        <w:kinsoku/>
        <w:wordWrap/>
        <w:overflowPunct/>
        <w:topLinePunct w:val="0"/>
        <w:autoSpaceDE w:val="0"/>
        <w:autoSpaceDN w:val="0"/>
        <w:bidi w:val="0"/>
        <w:adjustRightInd w:val="0"/>
        <w:snapToGrid w:val="0"/>
        <w:spacing w:line="360" w:lineRule="auto"/>
        <w:ind w:left="6840" w:hanging="6840" w:hangingChars="285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开户银行：                                  开户银行： </w:t>
      </w:r>
    </w:p>
    <w:p w14:paraId="6EC6837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帐号：                                      帐号： </w:t>
      </w:r>
    </w:p>
    <w:p w14:paraId="0957DC38">
      <w:pPr>
        <w:keepNext w:val="0"/>
        <w:keepLines w:val="0"/>
        <w:pageBreakBefore w:val="0"/>
        <w:widowControl/>
        <w:tabs>
          <w:tab w:val="left" w:pos="900"/>
          <w:tab w:val="left" w:pos="5529"/>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邮政编码：                                  邮政编码： </w:t>
      </w:r>
    </w:p>
    <w:p w14:paraId="10E26373">
      <w:pPr>
        <w:keepNext w:val="0"/>
        <w:keepLines w:val="0"/>
        <w:pageBreakBefore w:val="0"/>
        <w:widowControl/>
        <w:kinsoku/>
        <w:wordWrap/>
        <w:overflowPunct/>
        <w:topLinePunct w:val="0"/>
        <w:autoSpaceDE w:val="0"/>
        <w:autoSpaceDN w:val="0"/>
        <w:bidi w:val="0"/>
        <w:adjustRightInd w:val="0"/>
        <w:snapToGrid w:val="0"/>
        <w:spacing w:line="360" w:lineRule="auto"/>
        <w:ind w:left="6840" w:hanging="6840" w:hangingChars="2850"/>
        <w:textAlignment w:val="baseline"/>
        <w:rPr>
          <w:rFonts w:hint="eastAsia"/>
          <w:highlight w:val="none"/>
        </w:rPr>
      </w:pPr>
      <w:r>
        <w:rPr>
          <w:rFonts w:hint="eastAsia" w:asciiTheme="minorEastAsia" w:hAnsiTheme="minorEastAsia" w:eastAsiaTheme="minorEastAsia" w:cstheme="minorEastAsia"/>
          <w:sz w:val="24"/>
          <w:szCs w:val="24"/>
          <w:highlight w:val="none"/>
        </w:rPr>
        <w:t xml:space="preserve">签约日期：   年  月   日                    签约日期：   年  月   日  </w:t>
      </w:r>
      <w:r>
        <w:rPr>
          <w:rFonts w:hint="eastAsia" w:ascii="宋体" w:hAnsi="宋体" w:cs="宋体"/>
          <w:sz w:val="24"/>
          <w:szCs w:val="24"/>
          <w:highlight w:val="none"/>
        </w:rPr>
        <w:t xml:space="preserve">             </w:t>
      </w:r>
    </w:p>
    <w:p w14:paraId="77EBBBC7">
      <w:pPr>
        <w:widowControl/>
        <w:autoSpaceDE/>
        <w:adjustRightInd/>
        <w:rPr>
          <w:rFonts w:ascii="宋体" w:hAnsi="宋体"/>
          <w:color w:val="000000"/>
          <w:sz w:val="24"/>
          <w:highlight w:val="none"/>
        </w:rPr>
      </w:pPr>
    </w:p>
    <w:p w14:paraId="0AF8C703">
      <w:pPr>
        <w:pageBreakBefore w:val="0"/>
        <w:kinsoku/>
        <w:wordWrap/>
        <w:overflowPunct/>
        <w:topLinePunct w:val="0"/>
        <w:bidi w:val="0"/>
        <w:rPr>
          <w:rFonts w:hint="eastAsia" w:ascii="宋体" w:hAnsi="宋体" w:eastAsia="宋体" w:cs="宋体"/>
          <w:b/>
          <w:bCs/>
          <w:color w:val="auto"/>
          <w:spacing w:val="-1"/>
          <w:position w:val="1"/>
          <w:highlight w:val="none"/>
        </w:rPr>
      </w:pPr>
    </w:p>
    <w:p w14:paraId="2007D86A">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E00F2A5">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19"/>
    </w:p>
    <w:p w14:paraId="00355E7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57F58697">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4B479BF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A2419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3EFA35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FDB3BEA">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346F0FE9">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71BF0D8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2D9142D3">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9E25E7D">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1C5E5E">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6FF01C71">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57B3F94E">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CAAAF7B">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7442170E">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77421B6">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3F3ED749">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1147E7D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7D2383C2">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161EC6E">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31F58E72">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17C6B6BF">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2B6C917B">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28B6A6C3">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8C103AD">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5819F312">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56701252">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610A6B54">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09E77A3E">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7E625F39">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023002E8">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内容及要求及其他有关文件后，我方愿以人民币</w:t>
      </w:r>
      <w:r>
        <w:rPr>
          <w:rFonts w:hint="eastAsia" w:ascii="宋体" w:hAnsi="宋体" w:eastAsia="宋体" w:cs="宋体"/>
          <w:color w:val="auto"/>
          <w:spacing w:val="-4"/>
          <w:sz w:val="22"/>
          <w:szCs w:val="22"/>
          <w:highlight w:val="none"/>
          <w:u w:val="single" w:color="auto"/>
        </w:rPr>
        <w:t>大写          元 (</w:t>
      </w:r>
      <w:r>
        <w:rPr>
          <w:rFonts w:hint="eastAsia" w:ascii="宋体" w:hAnsi="宋体" w:eastAsia="宋体" w:cs="宋体"/>
          <w:color w:val="auto"/>
          <w:spacing w:val="-5"/>
          <w:sz w:val="22"/>
          <w:szCs w:val="22"/>
          <w:highlight w:val="none"/>
          <w:u w:val="single" w:color="auto"/>
        </w:rPr>
        <w:t xml:space="preserve">  ¥        元</w:t>
      </w:r>
      <w:r>
        <w:rPr>
          <w:rFonts w:hint="eastAsia" w:ascii="宋体" w:hAnsi="宋体" w:eastAsia="宋体" w:cs="宋体"/>
          <w:color w:val="auto"/>
          <w:spacing w:val="-28"/>
          <w:sz w:val="22"/>
          <w:szCs w:val="22"/>
          <w:highlight w:val="none"/>
          <w:u w:val="single" w:color="auto"/>
        </w:rPr>
        <w:t xml:space="preserve"> </w:t>
      </w:r>
      <w:r>
        <w:rPr>
          <w:rFonts w:hint="eastAsia" w:ascii="宋体" w:hAnsi="宋体" w:eastAsia="宋体" w:cs="宋体"/>
          <w:color w:val="auto"/>
          <w:spacing w:val="-5"/>
          <w:sz w:val="22"/>
          <w:szCs w:val="22"/>
          <w:highlight w:val="none"/>
          <w:u w:val="single" w:color="auto"/>
        </w:rPr>
        <w:t>）</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的总</w:t>
      </w:r>
      <w:r>
        <w:rPr>
          <w:rFonts w:hint="eastAsia" w:ascii="宋体" w:hAnsi="宋体" w:eastAsia="宋体" w:cs="宋体"/>
          <w:color w:val="auto"/>
          <w:spacing w:val="-6"/>
          <w:sz w:val="22"/>
          <w:szCs w:val="22"/>
          <w:highlight w:val="none"/>
        </w:rPr>
        <w:t>价作为竞价报价，项目履约时间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011C066A">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340AB5DC">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322D2681">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78177F8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52510B7D">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68F8B255">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0DCB0FD4">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558FE6C">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20CB9700">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4FACD142">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161EAAE5">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D949780">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7D5E6C8">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BB6E8DE">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4292C28">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6EFCA23A">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4703ECF9">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52371D42">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167CDFB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w:t>
      </w:r>
      <w:r>
        <w:rPr>
          <w:rFonts w:hint="eastAsia" w:ascii="宋体" w:hAnsi="宋体" w:eastAsia="宋体" w:cs="宋体"/>
          <w:color w:val="auto"/>
          <w:spacing w:val="-3"/>
          <w:sz w:val="22"/>
          <w:szCs w:val="22"/>
          <w:highlight w:val="none"/>
        </w:rPr>
        <w:t xml:space="preserve">  </w:t>
      </w:r>
    </w:p>
    <w:p w14:paraId="2F05917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pacing w:val="-3"/>
          <w:sz w:val="22"/>
          <w:szCs w:val="22"/>
          <w:highlight w:val="none"/>
        </w:rPr>
        <w:t xml:space="preserve"> </w:t>
      </w:r>
    </w:p>
    <w:p w14:paraId="3B088868">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4D596D11">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64"/>
        <w:gridCol w:w="2322"/>
        <w:gridCol w:w="2178"/>
        <w:gridCol w:w="2236"/>
        <w:gridCol w:w="888"/>
      </w:tblGrid>
      <w:tr w14:paraId="0613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7" w:hRule="atLeast"/>
          <w:jc w:val="center"/>
        </w:trPr>
        <w:tc>
          <w:tcPr>
            <w:tcW w:w="1183" w:type="pct"/>
            <w:vMerge w:val="restart"/>
            <w:tcBorders>
              <w:top w:val="single" w:color="auto" w:sz="4" w:space="0"/>
              <w:left w:val="single" w:color="auto" w:sz="4" w:space="0"/>
              <w:bottom w:val="single" w:color="auto" w:sz="4" w:space="0"/>
              <w:right w:val="single" w:color="auto" w:sz="4" w:space="0"/>
            </w:tcBorders>
            <w:noWrap w:val="0"/>
            <w:vAlign w:val="center"/>
          </w:tcPr>
          <w:p w14:paraId="159D958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2252" w:type="pct"/>
            <w:gridSpan w:val="2"/>
            <w:tcBorders>
              <w:top w:val="single" w:color="auto" w:sz="4" w:space="0"/>
              <w:left w:val="single" w:color="auto" w:sz="4" w:space="0"/>
              <w:bottom w:val="single" w:color="auto" w:sz="4" w:space="0"/>
              <w:right w:val="single" w:color="auto" w:sz="4" w:space="0"/>
            </w:tcBorders>
            <w:noWrap w:val="0"/>
            <w:vAlign w:val="center"/>
          </w:tcPr>
          <w:p w14:paraId="479CF6F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报价</w:t>
            </w:r>
          </w:p>
        </w:tc>
        <w:tc>
          <w:tcPr>
            <w:tcW w:w="1119" w:type="pct"/>
            <w:vMerge w:val="restart"/>
            <w:tcBorders>
              <w:top w:val="single" w:color="auto" w:sz="4" w:space="0"/>
              <w:left w:val="single" w:color="auto" w:sz="4" w:space="0"/>
              <w:right w:val="single" w:color="auto" w:sz="4" w:space="0"/>
            </w:tcBorders>
            <w:noWrap w:val="0"/>
            <w:vAlign w:val="center"/>
          </w:tcPr>
          <w:p w14:paraId="0898ADA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4" w:type="pct"/>
            <w:vMerge w:val="restart"/>
            <w:tcBorders>
              <w:top w:val="single" w:color="auto" w:sz="4" w:space="0"/>
              <w:left w:val="single" w:color="auto" w:sz="4" w:space="0"/>
              <w:right w:val="single" w:color="auto" w:sz="4" w:space="0"/>
            </w:tcBorders>
            <w:noWrap w:val="0"/>
            <w:vAlign w:val="center"/>
          </w:tcPr>
          <w:p w14:paraId="490E903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5417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1183" w:type="pct"/>
            <w:vMerge w:val="continue"/>
            <w:tcBorders>
              <w:top w:val="single" w:color="auto" w:sz="4" w:space="0"/>
              <w:left w:val="single" w:color="auto" w:sz="4" w:space="0"/>
              <w:bottom w:val="single" w:color="auto" w:sz="4" w:space="0"/>
              <w:right w:val="single" w:color="auto" w:sz="4" w:space="0"/>
            </w:tcBorders>
            <w:noWrap w:val="0"/>
            <w:vAlign w:val="center"/>
          </w:tcPr>
          <w:p w14:paraId="1D79216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b/>
                <w:color w:val="auto"/>
                <w:kern w:val="0"/>
                <w:sz w:val="22"/>
                <w:szCs w:val="22"/>
                <w:highlight w:val="none"/>
              </w:rPr>
            </w:pPr>
          </w:p>
        </w:tc>
        <w:tc>
          <w:tcPr>
            <w:tcW w:w="1162" w:type="pct"/>
            <w:tcBorders>
              <w:top w:val="single" w:color="auto" w:sz="4" w:space="0"/>
              <w:left w:val="single" w:color="auto" w:sz="4" w:space="0"/>
              <w:bottom w:val="single" w:color="auto" w:sz="4" w:space="0"/>
              <w:right w:val="single" w:color="auto" w:sz="4" w:space="0"/>
            </w:tcBorders>
            <w:noWrap w:val="0"/>
            <w:vAlign w:val="center"/>
          </w:tcPr>
          <w:p w14:paraId="729EB2D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大写</w:t>
            </w:r>
          </w:p>
        </w:tc>
        <w:tc>
          <w:tcPr>
            <w:tcW w:w="1090" w:type="pct"/>
            <w:tcBorders>
              <w:top w:val="single" w:color="auto" w:sz="4" w:space="0"/>
              <w:left w:val="single" w:color="auto" w:sz="4" w:space="0"/>
              <w:bottom w:val="single" w:color="auto" w:sz="4" w:space="0"/>
              <w:right w:val="single" w:color="auto" w:sz="4" w:space="0"/>
            </w:tcBorders>
            <w:noWrap w:val="0"/>
            <w:vAlign w:val="center"/>
          </w:tcPr>
          <w:p w14:paraId="73FFFAE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小写</w:t>
            </w:r>
          </w:p>
        </w:tc>
        <w:tc>
          <w:tcPr>
            <w:tcW w:w="1119" w:type="pct"/>
            <w:vMerge w:val="continue"/>
            <w:tcBorders>
              <w:left w:val="single" w:color="auto" w:sz="4" w:space="0"/>
              <w:bottom w:val="single" w:color="auto" w:sz="4" w:space="0"/>
              <w:right w:val="single" w:color="auto" w:sz="4" w:space="0"/>
            </w:tcBorders>
            <w:noWrap w:val="0"/>
            <w:vAlign w:val="center"/>
          </w:tcPr>
          <w:p w14:paraId="67228A54">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c>
          <w:tcPr>
            <w:tcW w:w="444" w:type="pct"/>
            <w:vMerge w:val="continue"/>
            <w:tcBorders>
              <w:left w:val="single" w:color="auto" w:sz="4" w:space="0"/>
              <w:bottom w:val="single" w:color="auto" w:sz="4" w:space="0"/>
              <w:right w:val="single" w:color="auto" w:sz="4" w:space="0"/>
            </w:tcBorders>
            <w:noWrap w:val="0"/>
            <w:vAlign w:val="center"/>
          </w:tcPr>
          <w:p w14:paraId="50A520F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r>
      <w:tr w14:paraId="073B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0" w:hRule="atLeast"/>
          <w:jc w:val="center"/>
        </w:trPr>
        <w:tc>
          <w:tcPr>
            <w:tcW w:w="1183" w:type="pct"/>
            <w:tcBorders>
              <w:top w:val="single" w:color="auto" w:sz="4" w:space="0"/>
              <w:left w:val="single" w:color="auto" w:sz="4" w:space="0"/>
              <w:right w:val="single" w:color="auto" w:sz="4" w:space="0"/>
            </w:tcBorders>
            <w:noWrap w:val="0"/>
            <w:vAlign w:val="center"/>
          </w:tcPr>
          <w:p w14:paraId="195E1F3D">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162" w:type="pct"/>
            <w:tcBorders>
              <w:top w:val="single" w:color="auto" w:sz="4" w:space="0"/>
              <w:left w:val="single" w:color="auto" w:sz="4" w:space="0"/>
              <w:right w:val="single" w:color="auto" w:sz="4" w:space="0"/>
            </w:tcBorders>
            <w:noWrap w:val="0"/>
            <w:vAlign w:val="center"/>
          </w:tcPr>
          <w:p w14:paraId="0C306FD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090" w:type="pct"/>
            <w:tcBorders>
              <w:top w:val="single" w:color="auto" w:sz="4" w:space="0"/>
              <w:left w:val="single" w:color="auto" w:sz="4" w:space="0"/>
              <w:bottom w:val="single" w:color="auto" w:sz="4" w:space="0"/>
              <w:right w:val="single" w:color="auto" w:sz="4" w:space="0"/>
            </w:tcBorders>
            <w:noWrap w:val="0"/>
            <w:vAlign w:val="center"/>
          </w:tcPr>
          <w:p w14:paraId="22B8148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119" w:type="pct"/>
            <w:tcBorders>
              <w:top w:val="single" w:color="auto" w:sz="4" w:space="0"/>
              <w:left w:val="single" w:color="auto" w:sz="4" w:space="0"/>
              <w:right w:val="single" w:color="auto" w:sz="4" w:space="0"/>
            </w:tcBorders>
            <w:noWrap w:val="0"/>
            <w:vAlign w:val="center"/>
          </w:tcPr>
          <w:p w14:paraId="5D2FE92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4" w:type="pct"/>
            <w:tcBorders>
              <w:top w:val="single" w:color="auto" w:sz="4" w:space="0"/>
              <w:left w:val="single" w:color="auto" w:sz="4" w:space="0"/>
              <w:right w:val="single" w:color="auto" w:sz="4" w:space="0"/>
            </w:tcBorders>
            <w:noWrap w:val="0"/>
            <w:vAlign w:val="center"/>
          </w:tcPr>
          <w:p w14:paraId="379180A6">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2EDAD530">
      <w:pPr>
        <w:pStyle w:val="5"/>
        <w:pageBreakBefore w:val="0"/>
        <w:kinsoku/>
        <w:wordWrap/>
        <w:overflowPunct/>
        <w:topLinePunct w:val="0"/>
        <w:bidi w:val="0"/>
        <w:spacing w:before="78" w:line="383" w:lineRule="auto"/>
        <w:ind w:right="275"/>
        <w:rPr>
          <w:rFonts w:hint="eastAsia" w:ascii="宋体" w:hAnsi="宋体" w:eastAsia="宋体" w:cs="宋体"/>
          <w:color w:val="auto"/>
          <w:spacing w:val="-2"/>
          <w:sz w:val="22"/>
          <w:szCs w:val="22"/>
          <w:highlight w:val="none"/>
        </w:rPr>
      </w:pPr>
      <w:r>
        <w:rPr>
          <w:rFonts w:hint="eastAsia" w:ascii="宋体" w:hAnsi="宋体" w:eastAsia="宋体" w:cs="宋体"/>
          <w:color w:val="auto"/>
          <w:spacing w:val="-3"/>
          <w:sz w:val="22"/>
          <w:szCs w:val="22"/>
          <w:highlight w:val="none"/>
        </w:rPr>
        <w:t>注：1.此表中，此报价包括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中要求的全部费用，报价应和《分</w:t>
      </w:r>
      <w:r>
        <w:rPr>
          <w:rFonts w:hint="eastAsia" w:ascii="宋体" w:hAnsi="宋体" w:eastAsia="宋体" w:cs="宋体"/>
          <w:color w:val="auto"/>
          <w:spacing w:val="-4"/>
          <w:sz w:val="22"/>
          <w:szCs w:val="22"/>
          <w:highlight w:val="none"/>
        </w:rPr>
        <w:t>项明细报</w:t>
      </w:r>
      <w:r>
        <w:rPr>
          <w:rFonts w:hint="eastAsia" w:ascii="宋体" w:hAnsi="宋体" w:eastAsia="宋体" w:cs="宋体"/>
          <w:color w:val="auto"/>
          <w:spacing w:val="-2"/>
          <w:sz w:val="22"/>
          <w:szCs w:val="22"/>
          <w:highlight w:val="none"/>
        </w:rPr>
        <w:t>价表》中的总价相一致</w:t>
      </w:r>
    </w:p>
    <w:p w14:paraId="56C728F7">
      <w:pPr>
        <w:pStyle w:val="5"/>
        <w:pageBreakBefore w:val="0"/>
        <w:kinsoku/>
        <w:wordWrap/>
        <w:overflowPunct/>
        <w:topLinePunct w:val="0"/>
        <w:bidi w:val="0"/>
        <w:spacing w:before="78" w:line="383" w:lineRule="auto"/>
        <w:ind w:right="275"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2.所有价格均以人民币作为货币单位填写及计算。</w:t>
      </w:r>
    </w:p>
    <w:p w14:paraId="05710F9F">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21158075">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48EFEFA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4753DB9A">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CA2B255">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6A9B864">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FBD575D">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03B72CE5">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1D0B4BF4">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分项报价表</w:t>
      </w:r>
    </w:p>
    <w:p w14:paraId="5416EE0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4DD23495">
      <w:pPr>
        <w:pageBreakBefore w:val="0"/>
        <w:kinsoku/>
        <w:wordWrap/>
        <w:overflowPunct/>
        <w:topLinePunct w:val="0"/>
        <w:bidi w:val="0"/>
        <w:snapToGrid w:val="0"/>
        <w:spacing w:line="360" w:lineRule="auto"/>
        <w:jc w:val="both"/>
        <w:rPr>
          <w:rFonts w:hint="eastAsia" w:ascii="宋体" w:hAnsi="宋体" w:eastAsia="宋体"/>
          <w:sz w:val="24"/>
          <w:highlight w:val="none"/>
          <w:lang w:val="en-US" w:eastAsia="zh-CN"/>
        </w:rPr>
      </w:pPr>
      <w:r>
        <w:rPr>
          <w:rFonts w:hint="eastAsia" w:ascii="宋体" w:hAnsi="宋体" w:eastAsia="宋体"/>
          <w:sz w:val="24"/>
          <w:highlight w:val="none"/>
          <w:lang w:val="en-US" w:eastAsia="zh-CN"/>
        </w:rPr>
        <w:t>以附件工程清单为准</w:t>
      </w:r>
    </w:p>
    <w:p w14:paraId="47C6DF58">
      <w:pPr>
        <w:pStyle w:val="11"/>
        <w:pageBreakBefore w:val="0"/>
        <w:kinsoku/>
        <w:wordWrap/>
        <w:overflowPunct/>
        <w:topLinePunct w:val="0"/>
        <w:bidi w:val="0"/>
        <w:rPr>
          <w:rFonts w:hint="eastAsia"/>
          <w:highlight w:val="none"/>
        </w:rPr>
      </w:pPr>
    </w:p>
    <w:p w14:paraId="3C2E955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46123CFB">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197BAB8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04716F5D">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08240919">
      <w:pPr>
        <w:pageBreakBefore w:val="0"/>
        <w:kinsoku/>
        <w:wordWrap/>
        <w:overflowPunct/>
        <w:topLinePunct w:val="0"/>
        <w:bidi w:val="0"/>
        <w:rPr>
          <w:rFonts w:hint="eastAsia" w:ascii="宋体" w:hAnsi="宋体" w:eastAsia="宋体" w:cs="宋体"/>
          <w:color w:val="auto"/>
          <w:spacing w:val="-1"/>
          <w:sz w:val="21"/>
          <w:szCs w:val="21"/>
          <w:highlight w:val="none"/>
        </w:rPr>
      </w:pPr>
    </w:p>
    <w:p w14:paraId="4EFBA842">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2BEB7632">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5E37F55B">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04206E72">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091FD7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14FACB5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C561B20">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39643983">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DE77F92">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26D84B31">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0DE4E3E6">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54081F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DCBA74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E329E9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56416A">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92BBA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58D27C9">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688A62B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1EFDE6C1">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7B7660C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中国人民警察大学（广州）10号楼一楼计算机专修室升级改造项目-工程部分</w:t>
      </w:r>
    </w:p>
    <w:p w14:paraId="7C8EC0DD">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GZGCCG-2026054</w:t>
      </w:r>
    </w:p>
    <w:p w14:paraId="659268AB">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6285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0232FCC6">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4975B87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1D0039FC">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2537502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7997EF3A">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7F2334F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E2700">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B8B58A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D3AE1C">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AE1A356">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5E32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899DBE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7E6CB780">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8DEBE4C">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5F1AF0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7277A07E">
            <w:pPr>
              <w:pageBreakBefore w:val="0"/>
              <w:kinsoku/>
              <w:wordWrap/>
              <w:overflowPunct/>
              <w:topLinePunct w:val="0"/>
              <w:bidi w:val="0"/>
              <w:rPr>
                <w:rFonts w:hint="eastAsia" w:ascii="宋体" w:hAnsi="宋体" w:eastAsia="宋体" w:cs="宋体"/>
                <w:color w:val="auto"/>
                <w:sz w:val="22"/>
                <w:szCs w:val="22"/>
                <w:highlight w:val="none"/>
              </w:rPr>
            </w:pPr>
          </w:p>
        </w:tc>
      </w:tr>
      <w:tr w14:paraId="49116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67CADE74">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91E8BE9">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38DBF2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0BC522B">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6863659C">
            <w:pPr>
              <w:pageBreakBefore w:val="0"/>
              <w:kinsoku/>
              <w:wordWrap/>
              <w:overflowPunct/>
              <w:topLinePunct w:val="0"/>
              <w:bidi w:val="0"/>
              <w:rPr>
                <w:rFonts w:hint="eastAsia" w:ascii="宋体" w:hAnsi="宋体" w:eastAsia="宋体" w:cs="宋体"/>
                <w:color w:val="auto"/>
                <w:sz w:val="22"/>
                <w:szCs w:val="22"/>
                <w:highlight w:val="none"/>
              </w:rPr>
            </w:pPr>
          </w:p>
        </w:tc>
      </w:tr>
      <w:tr w14:paraId="07A15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5B2A38F2">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27FA853E">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6B0224">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DFAF27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11EA16B">
            <w:pPr>
              <w:pageBreakBefore w:val="0"/>
              <w:kinsoku/>
              <w:wordWrap/>
              <w:overflowPunct/>
              <w:topLinePunct w:val="0"/>
              <w:bidi w:val="0"/>
              <w:rPr>
                <w:rFonts w:hint="eastAsia" w:ascii="宋体" w:hAnsi="宋体" w:eastAsia="宋体" w:cs="宋体"/>
                <w:color w:val="auto"/>
                <w:sz w:val="22"/>
                <w:szCs w:val="22"/>
                <w:highlight w:val="none"/>
              </w:rPr>
            </w:pPr>
          </w:p>
        </w:tc>
      </w:tr>
      <w:tr w14:paraId="27253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291B2FD0">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D9D8C8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5AB3E53">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CF86717">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EF25C67">
            <w:pPr>
              <w:pageBreakBefore w:val="0"/>
              <w:kinsoku/>
              <w:wordWrap/>
              <w:overflowPunct/>
              <w:topLinePunct w:val="0"/>
              <w:bidi w:val="0"/>
              <w:rPr>
                <w:rFonts w:hint="eastAsia" w:ascii="宋体" w:hAnsi="宋体" w:eastAsia="宋体" w:cs="宋体"/>
                <w:color w:val="auto"/>
                <w:sz w:val="22"/>
                <w:szCs w:val="22"/>
                <w:highlight w:val="none"/>
              </w:rPr>
            </w:pPr>
          </w:p>
        </w:tc>
      </w:tr>
      <w:tr w14:paraId="40D4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5D16FC0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2356478">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6D501C71">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F841CE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2FBD3F7">
            <w:pPr>
              <w:pageBreakBefore w:val="0"/>
              <w:kinsoku/>
              <w:wordWrap/>
              <w:overflowPunct/>
              <w:topLinePunct w:val="0"/>
              <w:bidi w:val="0"/>
              <w:rPr>
                <w:rFonts w:hint="eastAsia" w:ascii="宋体" w:hAnsi="宋体" w:eastAsia="宋体" w:cs="宋体"/>
                <w:color w:val="auto"/>
                <w:sz w:val="22"/>
                <w:szCs w:val="22"/>
                <w:highlight w:val="none"/>
              </w:rPr>
            </w:pPr>
          </w:p>
        </w:tc>
      </w:tr>
    </w:tbl>
    <w:p w14:paraId="29BC7595">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07715915">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1DFE7FA3">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采购需求中的第一项所有内容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7FA0075C">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5DD71D03">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5AC64A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8DEF826">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9389E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6DC897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AC9827F">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7E5B3D8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346B942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297D83E9">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313DA4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中国人民警察大学（广州）10号楼一楼计算机专修室升级改造项目-工程部分</w:t>
      </w:r>
    </w:p>
    <w:p w14:paraId="3756813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GZGCCG-2026054</w:t>
      </w:r>
    </w:p>
    <w:p w14:paraId="3F4FD867">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3B5CE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57" w:hRule="atLeast"/>
        </w:trPr>
        <w:tc>
          <w:tcPr>
            <w:tcW w:w="832" w:type="dxa"/>
            <w:vAlign w:val="top"/>
          </w:tcPr>
          <w:p w14:paraId="52A3B37A">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6D5AC86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91AFD2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2CE1BF3D">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41E4B86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1CC48056">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6E186FAC">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348663C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6D30CD70">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2E3FD0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5A818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7F4C11F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E05E25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703630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32D530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C93F18F">
            <w:pPr>
              <w:pageBreakBefore w:val="0"/>
              <w:kinsoku/>
              <w:wordWrap/>
              <w:overflowPunct/>
              <w:topLinePunct w:val="0"/>
              <w:bidi w:val="0"/>
              <w:rPr>
                <w:rFonts w:hint="eastAsia" w:ascii="宋体" w:hAnsi="宋体" w:eastAsia="宋体" w:cs="宋体"/>
                <w:color w:val="auto"/>
                <w:sz w:val="22"/>
                <w:szCs w:val="22"/>
                <w:highlight w:val="none"/>
              </w:rPr>
            </w:pPr>
          </w:p>
        </w:tc>
      </w:tr>
      <w:tr w14:paraId="12EF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75BD7E89">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F7E3DA7">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57CE1403">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CC25337">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7155697">
            <w:pPr>
              <w:pageBreakBefore w:val="0"/>
              <w:kinsoku/>
              <w:wordWrap/>
              <w:overflowPunct/>
              <w:topLinePunct w:val="0"/>
              <w:bidi w:val="0"/>
              <w:rPr>
                <w:rFonts w:hint="eastAsia" w:ascii="宋体" w:hAnsi="宋体" w:eastAsia="宋体" w:cs="宋体"/>
                <w:color w:val="auto"/>
                <w:sz w:val="22"/>
                <w:szCs w:val="22"/>
                <w:highlight w:val="none"/>
              </w:rPr>
            </w:pPr>
          </w:p>
        </w:tc>
      </w:tr>
      <w:tr w14:paraId="4D1F2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28AED4D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1BF9081">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83E1F37">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5A22F6B">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5BB994F">
            <w:pPr>
              <w:pageBreakBefore w:val="0"/>
              <w:kinsoku/>
              <w:wordWrap/>
              <w:overflowPunct/>
              <w:topLinePunct w:val="0"/>
              <w:bidi w:val="0"/>
              <w:rPr>
                <w:rFonts w:hint="eastAsia" w:ascii="宋体" w:hAnsi="宋体" w:eastAsia="宋体" w:cs="宋体"/>
                <w:color w:val="auto"/>
                <w:sz w:val="22"/>
                <w:szCs w:val="22"/>
                <w:highlight w:val="none"/>
              </w:rPr>
            </w:pPr>
          </w:p>
        </w:tc>
      </w:tr>
      <w:tr w14:paraId="6D838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683ACB5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0CB6690">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3FF1972C">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A960A4A">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038D6FB">
            <w:pPr>
              <w:pageBreakBefore w:val="0"/>
              <w:kinsoku/>
              <w:wordWrap/>
              <w:overflowPunct/>
              <w:topLinePunct w:val="0"/>
              <w:bidi w:val="0"/>
              <w:rPr>
                <w:rFonts w:hint="eastAsia" w:ascii="宋体" w:hAnsi="宋体" w:eastAsia="宋体" w:cs="宋体"/>
                <w:color w:val="auto"/>
                <w:sz w:val="22"/>
                <w:szCs w:val="22"/>
                <w:highlight w:val="none"/>
              </w:rPr>
            </w:pPr>
          </w:p>
        </w:tc>
      </w:tr>
      <w:tr w14:paraId="2088E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080BCA0F">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654920AE">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0C2969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740285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9483644">
            <w:pPr>
              <w:pageBreakBefore w:val="0"/>
              <w:kinsoku/>
              <w:wordWrap/>
              <w:overflowPunct/>
              <w:topLinePunct w:val="0"/>
              <w:bidi w:val="0"/>
              <w:rPr>
                <w:rFonts w:hint="eastAsia" w:ascii="宋体" w:hAnsi="宋体" w:eastAsia="宋体" w:cs="宋体"/>
                <w:color w:val="auto"/>
                <w:sz w:val="22"/>
                <w:szCs w:val="22"/>
                <w:highlight w:val="none"/>
              </w:rPr>
            </w:pPr>
          </w:p>
        </w:tc>
      </w:tr>
    </w:tbl>
    <w:p w14:paraId="1BD9916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7DEF2EE9">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第二项、技术需求部分</w:t>
      </w:r>
      <w:r>
        <w:rPr>
          <w:rFonts w:hint="eastAsia" w:ascii="宋体" w:hAnsi="宋体" w:eastAsia="宋体" w:cs="宋体"/>
          <w:color w:val="auto"/>
          <w:spacing w:val="-4"/>
          <w:sz w:val="22"/>
          <w:szCs w:val="22"/>
          <w:highlight w:val="none"/>
        </w:rPr>
        <w:t>”所列的要求及内容。</w:t>
      </w:r>
    </w:p>
    <w:p w14:paraId="37204E40">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5CAF261D">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1763AC7B">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3C7D233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2B41FFC">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1DCE44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1CC111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FFEA0FC">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7DE4E329">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10D20D78">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2971F91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785AC57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BF2B4E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1FDD52C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2957324C">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4DD00A48">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48E0459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763084A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5902A6A5">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23111FC3">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、供应商应具有有效期内的建筑装修装饰工程专业承包二级(或以上)资质（提供证书扫描件作为证明材料）。</w:t>
      </w:r>
    </w:p>
    <w:p w14:paraId="7A4F97C8">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12、供应商必须具有建设行政主管部门颁发有效的《安全生产许可证》（提供证书扫描件作为证明材料）。</w:t>
      </w:r>
    </w:p>
    <w:p w14:paraId="79BD77E3">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7F582D89">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14、本项目不允许分包或转包。</w:t>
      </w:r>
    </w:p>
    <w:p w14:paraId="387F1FCD">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15、本项目不接受联合体响应。（提供声明函，格式自拟）</w:t>
      </w:r>
    </w:p>
    <w:p w14:paraId="501DCCA0">
      <w:pP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br w:type="page"/>
      </w:r>
    </w:p>
    <w:p w14:paraId="223F9A9C">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67A5E91B">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5E26CE1E">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4E149A6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26DA14C7">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55166C6E">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7051C7A1">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09A82645">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5ADD36A9">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5008F1CD">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6222856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6CFBC85B">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7EAA21FD">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1D23283B">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1349E1C9">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787250C3">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688D5041">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F2D2C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B6E639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0A77AD8D">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44B56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B65D3B0">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720A860">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7419C26E">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7936CB4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30E8BBC1">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C75EC7">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2E7C785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534A2D5E">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28B4E94A">
      <w:pPr>
        <w:pStyle w:val="5"/>
        <w:pageBreakBefore w:val="0"/>
        <w:kinsoku/>
        <w:wordWrap/>
        <w:overflowPunct/>
        <w:topLinePunct w:val="0"/>
        <w:bidi w:val="0"/>
        <w:spacing w:line="360" w:lineRule="auto"/>
        <w:ind w:left="0" w:right="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0793AB7E">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69320557">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C871E54">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4F5029DC">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D5F1F2D">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850B41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16B99ABB">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EDD05C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335FF921">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057E373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D676A38">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466E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39EA2A3">
      <w:pPr>
        <w:pStyle w:val="14"/>
        <w:pageBreakBefore w:val="0"/>
        <w:kinsoku/>
        <w:wordWrap/>
        <w:overflowPunct/>
        <w:topLinePunct w:val="0"/>
        <w:bidi w:val="0"/>
        <w:rPr>
          <w:rFonts w:hint="eastAsia" w:ascii="宋体" w:hAnsi="宋体" w:eastAsia="宋体" w:cs="宋体"/>
          <w:color w:val="auto"/>
          <w:sz w:val="22"/>
          <w:szCs w:val="22"/>
          <w:highlight w:val="none"/>
        </w:rPr>
      </w:pPr>
    </w:p>
    <w:p w14:paraId="00DDC5A7">
      <w:pPr>
        <w:pStyle w:val="14"/>
        <w:pageBreakBefore w:val="0"/>
        <w:kinsoku/>
        <w:wordWrap/>
        <w:overflowPunct/>
        <w:topLinePunct w:val="0"/>
        <w:bidi w:val="0"/>
        <w:rPr>
          <w:rFonts w:hint="eastAsia" w:ascii="宋体" w:hAnsi="宋体" w:eastAsia="宋体" w:cs="宋体"/>
          <w:color w:val="auto"/>
          <w:sz w:val="22"/>
          <w:szCs w:val="22"/>
          <w:highlight w:val="none"/>
        </w:rPr>
      </w:pPr>
    </w:p>
    <w:p w14:paraId="5AD31CCA">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183B72A3">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54C81BE">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A6F9ED7">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1256F26C">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41E517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5B84D48B">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2D4D2AC5">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63BE79F9">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334CEF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33E0BBAF">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中国人民警察大学（广州）10号楼一楼计算机专修室升级改造项目-工程部分</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423F43D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C7C8E7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279DB63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2D416A05">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190D989D">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7D35D26C">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1D5F6936">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DC2FA68">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4ECBAEB">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CC3418F">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C338969">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E7F76C6">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70BD7258">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0594CB8">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22656EAC">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549C122A">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5E15ABE6">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19F41DF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8CC76FD">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64A774F1">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5AF97153">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46DCD34C">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004C9FDF">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6AC7B4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F2E073B">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226CFE6A">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1DF3FE1A">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中国人民警察大学（广州）10号楼一楼计算机专修室升级改造项目-工程部分</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01DF2BEC">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382710F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4B32AC8B">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224D2038">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0A9F30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81E94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65B6516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ABBE8D5">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5E67919">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351EF34D">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7CCF2454">
      <w:pPr>
        <w:pageBreakBefore w:val="0"/>
        <w:kinsoku/>
        <w:wordWrap/>
        <w:overflowPunct/>
        <w:topLinePunct w:val="0"/>
        <w:bidi w:val="0"/>
        <w:spacing w:line="327" w:lineRule="auto"/>
        <w:rPr>
          <w:rFonts w:hint="eastAsia" w:ascii="宋体" w:hAnsi="宋体" w:eastAsia="宋体" w:cs="宋体"/>
          <w:sz w:val="22"/>
          <w:szCs w:val="22"/>
          <w:highlight w:val="none"/>
        </w:rPr>
      </w:pPr>
    </w:p>
    <w:p w14:paraId="495A3B97">
      <w:pPr>
        <w:pageBreakBefore w:val="0"/>
        <w:kinsoku/>
        <w:wordWrap/>
        <w:overflowPunct/>
        <w:topLinePunct w:val="0"/>
        <w:bidi w:val="0"/>
        <w:spacing w:line="327" w:lineRule="auto"/>
        <w:rPr>
          <w:rFonts w:hint="eastAsia" w:ascii="宋体" w:hAnsi="宋体" w:eastAsia="宋体" w:cs="宋体"/>
          <w:sz w:val="22"/>
          <w:szCs w:val="22"/>
          <w:highlight w:val="none"/>
        </w:rPr>
      </w:pPr>
    </w:p>
    <w:p w14:paraId="138F27F0">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70F43439">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220E939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6AD7807">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建筑业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7B626AA2">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建筑业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285F456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69FFF880">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25390BE7">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14E657A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4075797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367B91CD">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18E02CA">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4DF7BC0">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447497AC">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3044208F">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2C38B28C">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43E3E3F3">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393E231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57136F3F">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1D86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5C9901EE">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EC36DFF">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3986A9FC">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91EB6C8">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01976BCA">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1D028E1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2FB19EE7">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29A15E02">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B1B3317">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3559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3238342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2BEFA7A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03A708E9">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FD72DD9">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32C086C6">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5ACCFF31">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275C73AB">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2481943">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192D8F1C">
            <w:pPr>
              <w:pageBreakBefore w:val="0"/>
              <w:kinsoku/>
              <w:wordWrap/>
              <w:overflowPunct/>
              <w:topLinePunct w:val="0"/>
              <w:bidi w:val="0"/>
              <w:rPr>
                <w:rFonts w:hint="eastAsia" w:ascii="宋体" w:hAnsi="宋体" w:eastAsia="宋体" w:cs="宋体"/>
                <w:color w:val="auto"/>
                <w:sz w:val="22"/>
                <w:szCs w:val="22"/>
                <w:highlight w:val="none"/>
              </w:rPr>
            </w:pPr>
          </w:p>
        </w:tc>
      </w:tr>
      <w:tr w14:paraId="6E774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2A0DD994">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7016C38D">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17C81F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78882F3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6780F2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8770F8D">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42ED44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6AA160AD">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A984564">
            <w:pPr>
              <w:pageBreakBefore w:val="0"/>
              <w:kinsoku/>
              <w:wordWrap/>
              <w:overflowPunct/>
              <w:topLinePunct w:val="0"/>
              <w:bidi w:val="0"/>
              <w:rPr>
                <w:rFonts w:hint="eastAsia" w:ascii="宋体" w:hAnsi="宋体" w:eastAsia="宋体" w:cs="宋体"/>
                <w:color w:val="auto"/>
                <w:sz w:val="22"/>
                <w:szCs w:val="22"/>
                <w:highlight w:val="none"/>
              </w:rPr>
            </w:pPr>
          </w:p>
        </w:tc>
      </w:tr>
      <w:tr w14:paraId="188EC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42C87DE">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6989398">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E12B0C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5C97398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05A2699">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31A227B5">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C86606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EEDD0DF">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D79850B">
            <w:pPr>
              <w:pageBreakBefore w:val="0"/>
              <w:kinsoku/>
              <w:wordWrap/>
              <w:overflowPunct/>
              <w:topLinePunct w:val="0"/>
              <w:bidi w:val="0"/>
              <w:rPr>
                <w:rFonts w:hint="eastAsia" w:ascii="宋体" w:hAnsi="宋体" w:eastAsia="宋体" w:cs="宋体"/>
                <w:color w:val="auto"/>
                <w:sz w:val="22"/>
                <w:szCs w:val="22"/>
                <w:highlight w:val="none"/>
              </w:rPr>
            </w:pPr>
          </w:p>
        </w:tc>
      </w:tr>
      <w:tr w14:paraId="08850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690D13FC">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ACF81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9A197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F5FF69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76F208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0C95657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B76F13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47943E38">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76338D5B">
            <w:pPr>
              <w:pageBreakBefore w:val="0"/>
              <w:kinsoku/>
              <w:wordWrap/>
              <w:overflowPunct/>
              <w:topLinePunct w:val="0"/>
              <w:bidi w:val="0"/>
              <w:rPr>
                <w:rFonts w:hint="eastAsia" w:ascii="宋体" w:hAnsi="宋体" w:eastAsia="宋体" w:cs="宋体"/>
                <w:color w:val="auto"/>
                <w:sz w:val="22"/>
                <w:szCs w:val="22"/>
                <w:highlight w:val="none"/>
              </w:rPr>
            </w:pPr>
          </w:p>
        </w:tc>
      </w:tr>
      <w:tr w14:paraId="7E756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46C6D9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BD1DD5B">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39F378E1">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C2351B0">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3089ED2C">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4EFBE8C">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30D25D1">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3AD351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F1435A7">
            <w:pPr>
              <w:pageBreakBefore w:val="0"/>
              <w:kinsoku/>
              <w:wordWrap/>
              <w:overflowPunct/>
              <w:topLinePunct w:val="0"/>
              <w:bidi w:val="0"/>
              <w:rPr>
                <w:rFonts w:hint="eastAsia" w:ascii="宋体" w:hAnsi="宋体" w:eastAsia="宋体" w:cs="宋体"/>
                <w:color w:val="auto"/>
                <w:sz w:val="22"/>
                <w:szCs w:val="22"/>
                <w:highlight w:val="none"/>
              </w:rPr>
            </w:pPr>
          </w:p>
        </w:tc>
      </w:tr>
      <w:tr w14:paraId="0C9EA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5A61104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6FEB44E">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07886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800B8D5">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365246B">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FAC73F8">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596194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A8C5561">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20F5B30">
            <w:pPr>
              <w:pageBreakBefore w:val="0"/>
              <w:kinsoku/>
              <w:wordWrap/>
              <w:overflowPunct/>
              <w:topLinePunct w:val="0"/>
              <w:bidi w:val="0"/>
              <w:rPr>
                <w:rFonts w:hint="eastAsia" w:ascii="宋体" w:hAnsi="宋体" w:eastAsia="宋体" w:cs="宋体"/>
                <w:color w:val="auto"/>
                <w:sz w:val="22"/>
                <w:szCs w:val="22"/>
                <w:highlight w:val="none"/>
              </w:rPr>
            </w:pPr>
          </w:p>
        </w:tc>
      </w:tr>
      <w:tr w14:paraId="49118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BA0D71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603391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0D5E9E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BD052C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99FDEA1">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B2978E">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E4B8F6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93A3E7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CA3A6EC">
            <w:pPr>
              <w:pageBreakBefore w:val="0"/>
              <w:kinsoku/>
              <w:wordWrap/>
              <w:overflowPunct/>
              <w:topLinePunct w:val="0"/>
              <w:bidi w:val="0"/>
              <w:rPr>
                <w:rFonts w:hint="eastAsia" w:ascii="宋体" w:hAnsi="宋体" w:eastAsia="宋体" w:cs="宋体"/>
                <w:color w:val="auto"/>
                <w:sz w:val="22"/>
                <w:szCs w:val="22"/>
                <w:highlight w:val="none"/>
              </w:rPr>
            </w:pPr>
          </w:p>
        </w:tc>
      </w:tr>
    </w:tbl>
    <w:p w14:paraId="097E8D18">
      <w:pPr>
        <w:pageBreakBefore w:val="0"/>
        <w:kinsoku/>
        <w:wordWrap/>
        <w:overflowPunct/>
        <w:topLinePunct w:val="0"/>
        <w:bidi w:val="0"/>
        <w:rPr>
          <w:rFonts w:hint="eastAsia" w:ascii="宋体" w:hAnsi="宋体" w:eastAsia="宋体" w:cs="宋体"/>
          <w:color w:val="auto"/>
          <w:sz w:val="22"/>
          <w:szCs w:val="22"/>
          <w:highlight w:val="none"/>
        </w:rPr>
      </w:pPr>
    </w:p>
    <w:p w14:paraId="23694AF5">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default" w:ascii="宋体" w:hAnsi="宋体" w:cs="宋体" w:eastAsiaTheme="minorEastAsia"/>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val="0"/>
          <w:bCs w:val="0"/>
          <w:color w:val="auto"/>
          <w:spacing w:val="4"/>
          <w:sz w:val="22"/>
          <w:szCs w:val="22"/>
          <w:highlight w:val="none"/>
          <w:lang w:val="en-US" w:eastAsia="zh-CN"/>
        </w:rPr>
        <w:t>至少提供：项目经理1人，本单位正式员工，建筑工程专业二级或以上注册建造师资质和有效的安全生产考核合格证书（B类）注：响应文件内提供相应证书及近3个月社保证明（加盖响应人公章）；</w:t>
      </w:r>
      <w:r>
        <w:rPr>
          <w:rFonts w:hint="eastAsia" w:asciiTheme="minorEastAsia" w:hAnsiTheme="minorEastAsia" w:eastAsiaTheme="minorEastAsia" w:cstheme="minorEastAsia"/>
          <w:sz w:val="21"/>
          <w:szCs w:val="21"/>
          <w:highlight w:val="none"/>
        </w:rPr>
        <w:t>★</w:t>
      </w:r>
      <w:r>
        <w:rPr>
          <w:rFonts w:hint="eastAsia" w:ascii="宋体" w:hAnsi="宋体" w:eastAsia="宋体" w:cs="宋体"/>
          <w:b w:val="0"/>
          <w:bCs w:val="0"/>
          <w:color w:val="auto"/>
          <w:spacing w:val="4"/>
          <w:sz w:val="22"/>
          <w:szCs w:val="22"/>
          <w:highlight w:val="none"/>
          <w:lang w:val="en-US" w:eastAsia="zh-CN"/>
        </w:rPr>
        <w:t>承诺在响应本项目时不得担任其他在施建设工程项目的项目经理。</w:t>
      </w:r>
      <w:r>
        <w:rPr>
          <w:rFonts w:hint="eastAsia" w:ascii="宋体" w:hAnsi="宋体" w:eastAsia="宋体" w:cs="宋体"/>
          <w:b/>
          <w:bCs/>
          <w:color w:val="auto"/>
          <w:spacing w:val="4"/>
          <w:sz w:val="22"/>
          <w:szCs w:val="22"/>
          <w:highlight w:val="none"/>
          <w:lang w:val="en-US" w:eastAsia="zh-CN"/>
        </w:rPr>
        <w:t>注：响应文件内提供项目经理无在建承诺函。</w:t>
      </w:r>
      <w:r>
        <w:rPr>
          <w:rFonts w:hint="eastAsia" w:ascii="宋体" w:hAnsi="宋体" w:eastAsia="宋体" w:cs="宋体"/>
          <w:b w:val="0"/>
          <w:bCs w:val="0"/>
          <w:color w:val="auto"/>
          <w:spacing w:val="4"/>
          <w:sz w:val="22"/>
          <w:szCs w:val="22"/>
          <w:highlight w:val="none"/>
          <w:lang w:val="en-US" w:eastAsia="zh-CN"/>
        </w:rPr>
        <w:t>（经查，评审现场或评审结束后发现项目经理存在网上公示的在建项目，或在本项目开标前项目经理变更后无网上变更公示的，按项目经理存在在建项目，予以废标处理。）；</w:t>
      </w:r>
      <w:r>
        <w:rPr>
          <w:rFonts w:hint="eastAsia" w:asciiTheme="minorEastAsia" w:hAnsiTheme="minorEastAsia" w:eastAsiaTheme="minorEastAsia" w:cstheme="minorEastAsia"/>
          <w:sz w:val="21"/>
          <w:szCs w:val="21"/>
          <w:highlight w:val="none"/>
        </w:rPr>
        <w:t>技术人员</w:t>
      </w:r>
      <w:r>
        <w:rPr>
          <w:rFonts w:hint="eastAsia" w:asciiTheme="minorEastAsia" w:hAnsiTheme="minorEastAsia" w:eastAsiaTheme="minorEastAsia" w:cstheme="minorEastAsia"/>
          <w:sz w:val="21"/>
          <w:szCs w:val="21"/>
          <w:highlight w:val="none"/>
          <w:lang w:val="en-US" w:eastAsia="zh-CN"/>
        </w:rPr>
        <w:t>2人，应配备本单位正式员工：技术人员2人，其中，专职安全人员1人，须具有安全生产考核合格证（B类），项目负责人和安全员不得为同一人；另一人具备系统集成项目管理工程师中级或以上技术资格。注：响应文件内提供相关证书及近3个月社保证明（加盖响应人公章）。</w:t>
      </w:r>
      <w:r>
        <w:rPr>
          <w:rFonts w:hint="eastAsia" w:asciiTheme="minorEastAsia" w:hAnsiTheme="minorEastAsia" w:eastAsiaTheme="minorEastAsia" w:cstheme="minorEastAsia"/>
          <w:sz w:val="21"/>
          <w:szCs w:val="21"/>
          <w:highlight w:val="none"/>
        </w:rPr>
        <w:t>★总服务人数：</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人</w:t>
      </w:r>
    </w:p>
    <w:p w14:paraId="10AE85A1">
      <w:pPr>
        <w:pStyle w:val="5"/>
        <w:pageBreakBefore w:val="0"/>
        <w:kinsoku/>
        <w:wordWrap/>
        <w:overflowPunct/>
        <w:topLinePunct w:val="0"/>
        <w:bidi w:val="0"/>
        <w:rPr>
          <w:rFonts w:hint="eastAsia"/>
          <w:color w:val="auto"/>
          <w:sz w:val="22"/>
          <w:szCs w:val="22"/>
          <w:highlight w:val="none"/>
        </w:rPr>
      </w:pPr>
    </w:p>
    <w:p w14:paraId="7F4BCF4C">
      <w:pPr>
        <w:pStyle w:val="5"/>
        <w:pageBreakBefore w:val="0"/>
        <w:kinsoku/>
        <w:wordWrap/>
        <w:overflowPunct/>
        <w:topLinePunct w:val="0"/>
        <w:bidi w:val="0"/>
        <w:rPr>
          <w:rFonts w:hint="eastAsia"/>
          <w:color w:val="auto"/>
          <w:sz w:val="22"/>
          <w:szCs w:val="22"/>
          <w:highlight w:val="none"/>
        </w:rPr>
      </w:pPr>
    </w:p>
    <w:p w14:paraId="43AA610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2713641">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38D0042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6D3F0F4">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2FF47EE">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2ED1B6F">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18FDFB0B">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3275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08F4C7D2">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3CB0E3C1">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1DCEE13">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3DAF6C16">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7C56D964">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585A6CC">
            <w:pPr>
              <w:pageBreakBefore w:val="0"/>
              <w:kinsoku/>
              <w:wordWrap/>
              <w:overflowPunct/>
              <w:topLinePunct w:val="0"/>
              <w:bidi w:val="0"/>
              <w:rPr>
                <w:rFonts w:hint="eastAsia" w:ascii="宋体" w:hAnsi="宋体" w:eastAsia="宋体" w:cs="宋体"/>
                <w:b/>
                <w:bCs/>
                <w:color w:val="auto"/>
                <w:sz w:val="22"/>
                <w:szCs w:val="22"/>
                <w:highlight w:val="none"/>
              </w:rPr>
            </w:pPr>
          </w:p>
        </w:tc>
      </w:tr>
      <w:tr w14:paraId="4F9A3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01F408A8">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3D279434">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244F30C4">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C374479">
            <w:pPr>
              <w:pageBreakBefore w:val="0"/>
              <w:kinsoku/>
              <w:wordWrap/>
              <w:overflowPunct/>
              <w:topLinePunct w:val="0"/>
              <w:bidi w:val="0"/>
              <w:rPr>
                <w:rFonts w:hint="eastAsia" w:ascii="宋体" w:hAnsi="宋体" w:eastAsia="宋体" w:cs="宋体"/>
                <w:b/>
                <w:bCs/>
                <w:color w:val="auto"/>
                <w:sz w:val="22"/>
                <w:szCs w:val="22"/>
                <w:highlight w:val="none"/>
              </w:rPr>
            </w:pPr>
          </w:p>
        </w:tc>
      </w:tr>
      <w:tr w14:paraId="39303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5556D078">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1979C08B">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04E3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505F5EBF">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CD81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71F3FE29">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2F13281">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D4B6D40">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48905D52">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23E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446CAAC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5ACEEED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19DAEB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114F50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6A9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D34BAA5">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1144606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07D23119">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02B5B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778C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21045778">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7DA84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4DBEAED">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AE3142C">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76E5F167">
      <w:pPr>
        <w:pageBreakBefore w:val="0"/>
        <w:kinsoku/>
        <w:wordWrap/>
        <w:overflowPunct/>
        <w:topLinePunct w:val="0"/>
        <w:bidi w:val="0"/>
        <w:rPr>
          <w:rFonts w:hint="eastAsia" w:ascii="宋体" w:hAnsi="宋体" w:eastAsia="宋体" w:cs="宋体"/>
          <w:color w:val="auto"/>
          <w:sz w:val="22"/>
          <w:szCs w:val="22"/>
          <w:highlight w:val="none"/>
        </w:rPr>
      </w:pPr>
    </w:p>
    <w:p w14:paraId="5E121321">
      <w:pPr>
        <w:pageBreakBefore w:val="0"/>
        <w:kinsoku/>
        <w:wordWrap/>
        <w:overflowPunct/>
        <w:topLinePunct w:val="0"/>
        <w:bidi w:val="0"/>
        <w:rPr>
          <w:rFonts w:hint="eastAsia" w:ascii="宋体" w:hAnsi="宋体" w:eastAsia="宋体" w:cs="宋体"/>
          <w:color w:val="auto"/>
          <w:sz w:val="21"/>
          <w:szCs w:val="21"/>
          <w:highlight w:val="none"/>
        </w:rPr>
      </w:pPr>
    </w:p>
    <w:p w14:paraId="124459F9">
      <w:pPr>
        <w:pageBreakBefore w:val="0"/>
        <w:kinsoku/>
        <w:wordWrap/>
        <w:overflowPunct/>
        <w:topLinePunct w:val="0"/>
        <w:bidi w:val="0"/>
        <w:rPr>
          <w:rFonts w:hint="eastAsia" w:ascii="宋体" w:hAnsi="宋体" w:eastAsia="宋体" w:cs="宋体"/>
          <w:color w:val="auto"/>
          <w:sz w:val="21"/>
          <w:szCs w:val="21"/>
          <w:highlight w:val="none"/>
        </w:rPr>
      </w:pPr>
    </w:p>
    <w:p w14:paraId="17D9015C">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5506BF14">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025EBB9">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4BDB4561">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621C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5E42D5F0">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6F8B7FCF">
            <w:pPr>
              <w:pageBreakBefore w:val="0"/>
              <w:kinsoku/>
              <w:wordWrap/>
              <w:overflowPunct/>
              <w:topLinePunct w:val="0"/>
              <w:bidi w:val="0"/>
              <w:rPr>
                <w:rFonts w:hint="eastAsia" w:ascii="宋体" w:hAnsi="宋体" w:eastAsia="宋体" w:cs="宋体"/>
                <w:b/>
                <w:bCs/>
                <w:color w:val="auto"/>
                <w:sz w:val="22"/>
                <w:szCs w:val="22"/>
                <w:highlight w:val="none"/>
              </w:rPr>
            </w:pPr>
          </w:p>
        </w:tc>
      </w:tr>
      <w:tr w14:paraId="30C4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DF1309B">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26C0F89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44266888">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438663A9">
            <w:pPr>
              <w:pageBreakBefore w:val="0"/>
              <w:kinsoku/>
              <w:wordWrap/>
              <w:overflowPunct/>
              <w:topLinePunct w:val="0"/>
              <w:bidi w:val="0"/>
              <w:rPr>
                <w:rFonts w:hint="eastAsia" w:ascii="宋体" w:hAnsi="宋体" w:eastAsia="宋体" w:cs="宋体"/>
                <w:b/>
                <w:bCs/>
                <w:color w:val="auto"/>
                <w:sz w:val="22"/>
                <w:szCs w:val="22"/>
                <w:highlight w:val="none"/>
              </w:rPr>
            </w:pPr>
          </w:p>
        </w:tc>
      </w:tr>
      <w:tr w14:paraId="237D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2D352CDE">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0EF8A638">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457007B">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2495E8F4">
            <w:pPr>
              <w:pageBreakBefore w:val="0"/>
              <w:kinsoku/>
              <w:wordWrap/>
              <w:overflowPunct/>
              <w:topLinePunct w:val="0"/>
              <w:bidi w:val="0"/>
              <w:rPr>
                <w:rFonts w:hint="eastAsia" w:ascii="宋体" w:hAnsi="宋体" w:eastAsia="宋体" w:cs="宋体"/>
                <w:b/>
                <w:bCs/>
                <w:color w:val="auto"/>
                <w:sz w:val="22"/>
                <w:szCs w:val="22"/>
                <w:highlight w:val="none"/>
              </w:rPr>
            </w:pPr>
          </w:p>
        </w:tc>
      </w:tr>
      <w:tr w14:paraId="57E2B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79A90632">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5037F13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04802918">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24779EBB">
            <w:pPr>
              <w:pageBreakBefore w:val="0"/>
              <w:kinsoku/>
              <w:wordWrap/>
              <w:overflowPunct/>
              <w:topLinePunct w:val="0"/>
              <w:bidi w:val="0"/>
              <w:rPr>
                <w:rFonts w:hint="eastAsia" w:ascii="宋体" w:hAnsi="宋体" w:eastAsia="宋体" w:cs="宋体"/>
                <w:b/>
                <w:bCs/>
                <w:color w:val="auto"/>
                <w:sz w:val="22"/>
                <w:szCs w:val="22"/>
                <w:highlight w:val="none"/>
              </w:rPr>
            </w:pPr>
          </w:p>
        </w:tc>
      </w:tr>
      <w:tr w14:paraId="1F4A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4C52079B">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D462EB6">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E9861C0">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7455D8E3">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35A49B7C">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0EC0D7D9">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22533F6C">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61C9C22A">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19A9EAD6">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7A36EF2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26598FB8">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245BF6F2">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37D18270">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745A1712">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06C366F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5F1700A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38A9DB2A">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21732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2E21AED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577DDA1">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2E2A384F">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520F874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568619EE">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3F104DB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9DA78F8">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4E28ACFC">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6A30728D">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37CFF12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1C853337">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17815E2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2FFAB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6A62DC2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3EF667B9">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823266D">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0F26B804">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2C6893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0920F20C">
            <w:pPr>
              <w:pageBreakBefore w:val="0"/>
              <w:kinsoku/>
              <w:wordWrap/>
              <w:overflowPunct/>
              <w:topLinePunct w:val="0"/>
              <w:bidi w:val="0"/>
              <w:rPr>
                <w:rFonts w:hint="eastAsia" w:ascii="宋体" w:hAnsi="宋体" w:eastAsia="宋体" w:cs="宋体"/>
                <w:color w:val="auto"/>
                <w:sz w:val="22"/>
                <w:szCs w:val="22"/>
                <w:highlight w:val="none"/>
              </w:rPr>
            </w:pPr>
          </w:p>
        </w:tc>
      </w:tr>
      <w:tr w14:paraId="1940F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2D08570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0823354">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1E73790">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639CCAD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0D6D4826">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623C677">
            <w:pPr>
              <w:pageBreakBefore w:val="0"/>
              <w:kinsoku/>
              <w:wordWrap/>
              <w:overflowPunct/>
              <w:topLinePunct w:val="0"/>
              <w:bidi w:val="0"/>
              <w:rPr>
                <w:rFonts w:hint="eastAsia" w:ascii="宋体" w:hAnsi="宋体" w:eastAsia="宋体" w:cs="宋体"/>
                <w:color w:val="auto"/>
                <w:sz w:val="22"/>
                <w:szCs w:val="22"/>
                <w:highlight w:val="none"/>
              </w:rPr>
            </w:pPr>
          </w:p>
        </w:tc>
      </w:tr>
      <w:tr w14:paraId="659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A6A236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278D1291">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AC05131">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3B1F1820">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F2357C3">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2BDD1923">
            <w:pPr>
              <w:pageBreakBefore w:val="0"/>
              <w:kinsoku/>
              <w:wordWrap/>
              <w:overflowPunct/>
              <w:topLinePunct w:val="0"/>
              <w:bidi w:val="0"/>
              <w:rPr>
                <w:rFonts w:hint="eastAsia" w:ascii="宋体" w:hAnsi="宋体" w:eastAsia="宋体" w:cs="宋体"/>
                <w:color w:val="auto"/>
                <w:sz w:val="22"/>
                <w:szCs w:val="22"/>
                <w:highlight w:val="none"/>
              </w:rPr>
            </w:pPr>
          </w:p>
        </w:tc>
      </w:tr>
    </w:tbl>
    <w:p w14:paraId="256E4176">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7"/>
          <w:sz w:val="22"/>
          <w:szCs w:val="22"/>
          <w:highlight w:val="none"/>
          <w:lang w:val="en-US" w:eastAsia="zh-CN"/>
        </w:rPr>
        <w:t>提供提供自2023年1月以来类似项目（智慧课室建设项目、实训课室建设项目）的业绩案例5个</w:t>
      </w:r>
    </w:p>
    <w:p w14:paraId="7E4871CE">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998B66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56258D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EA554B7">
      <w:pPr>
        <w:pageBreakBefore w:val="0"/>
        <w:kinsoku/>
        <w:wordWrap/>
        <w:overflowPunct/>
        <w:topLinePunct w:val="0"/>
        <w:bidi w:val="0"/>
        <w:rPr>
          <w:rFonts w:hint="eastAsia" w:ascii="宋体" w:hAnsi="宋体" w:eastAsia="宋体" w:cs="宋体"/>
          <w:color w:val="auto"/>
          <w:sz w:val="21"/>
          <w:szCs w:val="21"/>
          <w:highlight w:val="none"/>
        </w:rPr>
      </w:pPr>
    </w:p>
    <w:p w14:paraId="22D7AF92">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6EAC4AF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0A72542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677CFD9">
      <w:pPr>
        <w:pStyle w:val="5"/>
        <w:pageBreakBefore w:val="0"/>
        <w:kinsoku/>
        <w:wordWrap/>
        <w:overflowPunct/>
        <w:topLinePunct w:val="0"/>
        <w:bidi w:val="0"/>
        <w:rPr>
          <w:rFonts w:hint="eastAsia"/>
          <w:color w:val="auto"/>
          <w:highlight w:val="none"/>
        </w:rPr>
      </w:pPr>
    </w:p>
    <w:p w14:paraId="202B15EA">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638CFFB">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58B86EF4">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03A1ED6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C6479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EE1555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5D20431">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6B6C6C9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5AF9B71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BC95FAB">
      <w:pPr>
        <w:pStyle w:val="5"/>
        <w:pageBreakBefore w:val="0"/>
        <w:kinsoku/>
        <w:wordWrap/>
        <w:overflowPunct/>
        <w:topLinePunct w:val="0"/>
        <w:bidi w:val="0"/>
        <w:rPr>
          <w:rFonts w:hint="eastAsia"/>
          <w:color w:val="auto"/>
          <w:highlight w:val="none"/>
        </w:rPr>
      </w:pPr>
    </w:p>
    <w:p w14:paraId="54BC5D02">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5684427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4FE57714">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中国人民警察大学（广州）10号楼一楼计算机专修室升级改造项目-工程部分</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GZGCCG-2026054</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E90D45B">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4AF5026">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0E40AD3">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E6D7021">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DC47C27">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12D8D533">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5843BDE5">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val="en-US" w:eastAsia="zh-CN"/>
        </w:rPr>
        <w:t>实质性响应承诺</w:t>
      </w:r>
    </w:p>
    <w:p w14:paraId="0A89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6"/>
          <w:szCs w:val="36"/>
          <w:highlight w:val="none"/>
          <w:lang w:val="en-US" w:eastAsia="zh-CN"/>
        </w:rPr>
      </w:pPr>
    </w:p>
    <w:p w14:paraId="121B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★承 诺 函</w:t>
      </w:r>
    </w:p>
    <w:p w14:paraId="2A235601">
      <w:pPr>
        <w:keepNext w:val="0"/>
        <w:keepLines w:val="0"/>
        <w:pageBreakBefore w:val="0"/>
        <w:widowControl w:val="0"/>
        <w:kinsoku/>
        <w:wordWrap/>
        <w:overflowPunct/>
        <w:topLinePunct w:val="0"/>
        <w:bidi w:val="0"/>
        <w:spacing w:line="360" w:lineRule="auto"/>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致：中国人民警察大学（广州）</w:t>
      </w:r>
    </w:p>
    <w:p w14:paraId="335D6D9B">
      <w:pPr>
        <w:keepNext w:val="0"/>
        <w:keepLines w:val="0"/>
        <w:pageBreakBefore w:val="0"/>
        <w:widowControl w:val="0"/>
        <w:kinsoku/>
        <w:wordWrap/>
        <w:overflowPunct/>
        <w:topLinePunct w:val="0"/>
        <w:autoSpaceDE w:val="0"/>
        <w:autoSpaceDN w:val="0"/>
        <w:bidi w:val="0"/>
        <w:adjustRightInd w:val="0"/>
        <w:snapToGrid w:val="0"/>
        <w:spacing w:line="360" w:lineRule="auto"/>
        <w:ind w:firstLine="660" w:firstLineChars="300"/>
        <w:textAlignment w:val="baseline"/>
        <w:rPr>
          <w:rFonts w:hint="eastAsia" w:ascii="宋体" w:hAnsi="宋体" w:eastAsia="宋体" w:cs="宋体"/>
          <w:color w:val="auto"/>
          <w:kern w:val="2"/>
          <w:sz w:val="22"/>
          <w:szCs w:val="22"/>
          <w:highlight w:val="none"/>
          <w:lang w:val="en-US" w:eastAsia="zh-Hans"/>
        </w:rPr>
      </w:pPr>
    </w:p>
    <w:p w14:paraId="7EF5515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Hans"/>
        </w:rPr>
      </w:pPr>
      <w:r>
        <w:rPr>
          <w:rFonts w:hint="eastAsia" w:ascii="宋体" w:hAnsi="宋体" w:eastAsia="宋体" w:cs="宋体"/>
          <w:color w:val="auto"/>
          <w:kern w:val="2"/>
          <w:sz w:val="22"/>
          <w:szCs w:val="22"/>
          <w:highlight w:val="none"/>
          <w:lang w:val="en-US" w:eastAsia="zh-Hans"/>
        </w:rPr>
        <w:t>我单位的参加贵单位组织</w:t>
      </w:r>
      <w:r>
        <w:rPr>
          <w:rFonts w:hint="eastAsia" w:ascii="宋体" w:hAnsi="宋体" w:eastAsia="宋体" w:cs="宋体"/>
          <w:color w:val="auto"/>
          <w:kern w:val="2"/>
          <w:sz w:val="22"/>
          <w:szCs w:val="22"/>
          <w:highlight w:val="none"/>
          <w:lang w:val="en-US" w:eastAsia="zh-CN"/>
        </w:rPr>
        <w:t>的中国人民警察大学（广州）10号楼一楼计算机专修室升级改造项目-工程部分</w:t>
      </w:r>
      <w:r>
        <w:rPr>
          <w:rFonts w:hint="eastAsia" w:ascii="宋体" w:hAnsi="宋体" w:eastAsia="宋体" w:cs="宋体"/>
          <w:color w:val="auto"/>
          <w:kern w:val="2"/>
          <w:sz w:val="22"/>
          <w:szCs w:val="22"/>
          <w:highlight w:val="none"/>
          <w:lang w:val="en-US" w:eastAsia="zh-Hans"/>
        </w:rPr>
        <w:t>，作出如下承诺：</w:t>
      </w:r>
    </w:p>
    <w:p w14:paraId="072123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cs="宋体" w:eastAsiaTheme="minorEastAsia"/>
          <w:color w:val="auto"/>
          <w:kern w:val="2"/>
          <w:sz w:val="22"/>
          <w:szCs w:val="22"/>
          <w:highlight w:val="none"/>
          <w:lang w:val="en-US" w:eastAsia="zh-CN"/>
        </w:rPr>
      </w:pPr>
      <w:r>
        <w:rPr>
          <w:rFonts w:hint="eastAsia" w:ascii="宋体" w:hAnsi="宋体" w:eastAsia="宋体" w:cs="宋体"/>
          <w:snapToGrid w:val="0"/>
          <w:color w:val="auto"/>
          <w:kern w:val="2"/>
          <w:sz w:val="22"/>
          <w:szCs w:val="22"/>
          <w:highlight w:val="none"/>
          <w:lang w:val="en-US" w:eastAsia="zh-CN" w:bidi="ar-SA"/>
        </w:rPr>
        <w:t>1.</w:t>
      </w:r>
      <w:r>
        <w:rPr>
          <w:rFonts w:hint="eastAsia" w:ascii="宋体" w:hAnsi="宋体" w:eastAsia="宋体" w:cs="宋体"/>
          <w:color w:val="auto"/>
          <w:kern w:val="2"/>
          <w:sz w:val="22"/>
          <w:szCs w:val="22"/>
          <w:highlight w:val="none"/>
          <w:lang w:val="en-US" w:eastAsia="zh-CN"/>
        </w:rPr>
        <w:t>我司承诺完全响应采购需求中三、施工材料要求所有内容：</w:t>
      </w:r>
    </w:p>
    <w:tbl>
      <w:tblPr>
        <w:tblStyle w:val="17"/>
        <w:tblW w:w="9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1523"/>
        <w:gridCol w:w="7298"/>
      </w:tblGrid>
      <w:tr w14:paraId="72C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17" w:type="dxa"/>
            <w:tcBorders>
              <w:top w:val="single" w:color="auto" w:sz="4" w:space="0"/>
              <w:left w:val="single" w:color="auto" w:sz="4" w:space="0"/>
              <w:bottom w:val="single" w:color="auto" w:sz="4" w:space="0"/>
              <w:right w:val="single" w:color="auto" w:sz="4" w:space="0"/>
            </w:tcBorders>
            <w:shd w:val="clear" w:color="auto" w:fill="D9D9D9"/>
            <w:vAlign w:val="center"/>
          </w:tcPr>
          <w:p w14:paraId="1DADC711">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523" w:type="dxa"/>
            <w:tcBorders>
              <w:top w:val="single" w:color="auto" w:sz="4" w:space="0"/>
              <w:left w:val="nil"/>
              <w:bottom w:val="single" w:color="auto" w:sz="4" w:space="0"/>
              <w:right w:val="single" w:color="auto" w:sz="4" w:space="0"/>
            </w:tcBorders>
            <w:shd w:val="clear" w:color="auto" w:fill="D9D9D9"/>
            <w:vAlign w:val="center"/>
          </w:tcPr>
          <w:p w14:paraId="69E5B7C2">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材料名称</w:t>
            </w:r>
          </w:p>
        </w:tc>
        <w:tc>
          <w:tcPr>
            <w:tcW w:w="7298" w:type="dxa"/>
            <w:tcBorders>
              <w:top w:val="single" w:color="auto" w:sz="4" w:space="0"/>
              <w:left w:val="nil"/>
              <w:bottom w:val="single" w:color="auto" w:sz="4" w:space="0"/>
              <w:right w:val="single" w:color="auto" w:sz="4" w:space="0"/>
            </w:tcBorders>
            <w:shd w:val="clear" w:color="auto" w:fill="D9D9D9"/>
            <w:vAlign w:val="center"/>
          </w:tcPr>
          <w:p w14:paraId="006A2F7C">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指标要求</w:t>
            </w:r>
          </w:p>
        </w:tc>
      </w:tr>
      <w:tr w14:paraId="4DC6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7" w:hRule="atLeast"/>
        </w:trPr>
        <w:tc>
          <w:tcPr>
            <w:tcW w:w="1017" w:type="dxa"/>
            <w:tcBorders>
              <w:top w:val="single" w:color="auto" w:sz="4" w:space="0"/>
              <w:left w:val="single" w:color="auto" w:sz="4" w:space="0"/>
              <w:bottom w:val="single" w:color="auto" w:sz="4" w:space="0"/>
              <w:right w:val="single" w:color="auto" w:sz="4" w:space="0"/>
            </w:tcBorders>
            <w:vAlign w:val="center"/>
          </w:tcPr>
          <w:p w14:paraId="6B83CDE6">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1</w:t>
            </w:r>
          </w:p>
        </w:tc>
        <w:tc>
          <w:tcPr>
            <w:tcW w:w="1523" w:type="dxa"/>
            <w:tcBorders>
              <w:top w:val="single" w:color="auto" w:sz="4" w:space="0"/>
              <w:left w:val="nil"/>
              <w:bottom w:val="single" w:color="auto" w:sz="4" w:space="0"/>
              <w:right w:val="single" w:color="auto" w:sz="4" w:space="0"/>
            </w:tcBorders>
            <w:vAlign w:val="center"/>
          </w:tcPr>
          <w:p w14:paraId="5AC8AB10">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陶瓷防静电活动地板</w:t>
            </w:r>
          </w:p>
        </w:tc>
        <w:tc>
          <w:tcPr>
            <w:tcW w:w="7298" w:type="dxa"/>
            <w:tcBorders>
              <w:top w:val="single" w:color="auto" w:sz="4" w:space="0"/>
              <w:left w:val="nil"/>
              <w:bottom w:val="single" w:color="auto" w:sz="4" w:space="0"/>
              <w:right w:val="single" w:color="auto" w:sz="4" w:space="0"/>
            </w:tcBorders>
            <w:vAlign w:val="center"/>
          </w:tcPr>
          <w:p w14:paraId="50A9330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全钢陶瓷防静电活动地板</w:t>
            </w:r>
          </w:p>
          <w:p w14:paraId="64C1401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1.导电性能： 表面电阻 106— 109欧姆；体电阻率 107— 1010欧姆/厘米</w:t>
            </w:r>
          </w:p>
          <w:p w14:paraId="4A1674DE">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2.耐烟火性能：不小于1600 ℃</w:t>
            </w:r>
          </w:p>
          <w:p w14:paraId="0AFC24D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3.耐磨性： 4级/6000转</w:t>
            </w:r>
          </w:p>
          <w:p w14:paraId="79726AB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4.耐极冷极热性：15℃－105℃</w:t>
            </w:r>
          </w:p>
          <w:p w14:paraId="740E26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5.经10次急冷热循环不出现明显裂纹</w:t>
            </w:r>
          </w:p>
          <w:p w14:paraId="1B1CF40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6.断裂模数：最小值不小于27Mpa</w:t>
            </w:r>
          </w:p>
          <w:p w14:paraId="1493C6F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翘曲度： ±0.5%</w:t>
            </w:r>
          </w:p>
          <w:p w14:paraId="00D19C3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7.地板规格： 600×600×40mm</w:t>
            </w:r>
          </w:p>
        </w:tc>
      </w:tr>
      <w:tr w14:paraId="76B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6" w:hRule="atLeast"/>
        </w:trPr>
        <w:tc>
          <w:tcPr>
            <w:tcW w:w="1017" w:type="dxa"/>
            <w:tcBorders>
              <w:top w:val="single" w:color="auto" w:sz="4" w:space="0"/>
              <w:left w:val="single" w:color="auto" w:sz="4" w:space="0"/>
              <w:bottom w:val="single" w:color="auto" w:sz="4" w:space="0"/>
              <w:right w:val="single" w:color="auto" w:sz="4" w:space="0"/>
            </w:tcBorders>
            <w:vAlign w:val="center"/>
          </w:tcPr>
          <w:p w14:paraId="37263CD9">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2</w:t>
            </w:r>
          </w:p>
        </w:tc>
        <w:tc>
          <w:tcPr>
            <w:tcW w:w="1523" w:type="dxa"/>
            <w:tcBorders>
              <w:top w:val="single" w:color="auto" w:sz="4" w:space="0"/>
              <w:left w:val="nil"/>
              <w:bottom w:val="single" w:color="auto" w:sz="4" w:space="0"/>
              <w:right w:val="single" w:color="auto" w:sz="4" w:space="0"/>
            </w:tcBorders>
            <w:vAlign w:val="center"/>
          </w:tcPr>
          <w:p w14:paraId="6B323F5C">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窗帘</w:t>
            </w:r>
          </w:p>
        </w:tc>
        <w:tc>
          <w:tcPr>
            <w:tcW w:w="7298" w:type="dxa"/>
            <w:tcBorders>
              <w:top w:val="single" w:color="auto" w:sz="4" w:space="0"/>
              <w:left w:val="nil"/>
              <w:bottom w:val="single" w:color="auto" w:sz="4" w:space="0"/>
              <w:right w:val="single" w:color="auto" w:sz="4" w:space="0"/>
            </w:tcBorders>
            <w:vAlign w:val="center"/>
          </w:tcPr>
          <w:p w14:paraId="157862EC">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1、甲醛含量：≤20mg/kg；</w:t>
            </w:r>
          </w:p>
          <w:p w14:paraId="0B06427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2、异味：无；</w:t>
            </w:r>
          </w:p>
          <w:p w14:paraId="2918DFE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3、PH 值 4.0－9.0；</w:t>
            </w:r>
          </w:p>
          <w:p w14:paraId="2B7194DC">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4、可分解芳香烃胺染料≤30mg/kg；</w:t>
            </w:r>
          </w:p>
          <w:p w14:paraId="0F7F8BB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5、耐皂洗色牢度：变色≥4 级，沾色≥4 级；</w:t>
            </w:r>
          </w:p>
          <w:p w14:paraId="4534A14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6、耐摩擦色牢度：干摩擦≥4 级；</w:t>
            </w:r>
          </w:p>
          <w:p w14:paraId="0EA0462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7、耐人造光色牢度：≥4 级；</w:t>
            </w:r>
          </w:p>
          <w:p w14:paraId="0606343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8、防火等级符合以下要求：</w:t>
            </w:r>
          </w:p>
          <w:p w14:paraId="5F9CE46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 xml:space="preserve">   ①.续燃时间: (经向、纬向)≤5s；</w:t>
            </w:r>
          </w:p>
          <w:p w14:paraId="445F9A3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 xml:space="preserve">   ②.阴燃时间: (经向、纬向)≤5s； </w:t>
            </w:r>
          </w:p>
          <w:p w14:paraId="1BBA287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③.损毁长度: (经向、纬向)≤150mm；</w:t>
            </w:r>
          </w:p>
          <w:p w14:paraId="64D3E10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布料功能：</w:t>
            </w:r>
          </w:p>
          <w:p w14:paraId="28F6484D">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1、使用材料要求，防污、防霉、防油渍、耐脏、易清洗、不易藏污垢、色彩柔和、抗变形处理、抗静电整理；</w:t>
            </w:r>
          </w:p>
          <w:p w14:paraId="594003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2、不起皱、不褪色、垂感好、无异味；</w:t>
            </w:r>
          </w:p>
          <w:p w14:paraId="1E06625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3、使用带遮光性高精密窗帘面料，表面不反光，三层纱线纺织，有效隔绝自然光；</w:t>
            </w:r>
          </w:p>
          <w:p w14:paraId="7951906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4、窗帘覆盖面应大于窗口见光洞口；</w:t>
            </w:r>
          </w:p>
        </w:tc>
      </w:tr>
      <w:tr w14:paraId="0C2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17" w:type="dxa"/>
            <w:tcBorders>
              <w:top w:val="single" w:color="auto" w:sz="4" w:space="0"/>
              <w:left w:val="single" w:color="auto" w:sz="4" w:space="0"/>
              <w:bottom w:val="single" w:color="auto" w:sz="4" w:space="0"/>
              <w:right w:val="single" w:color="auto" w:sz="4" w:space="0"/>
            </w:tcBorders>
            <w:vAlign w:val="center"/>
          </w:tcPr>
          <w:p w14:paraId="4D84EE43">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3</w:t>
            </w:r>
          </w:p>
        </w:tc>
        <w:tc>
          <w:tcPr>
            <w:tcW w:w="1523" w:type="dxa"/>
            <w:tcBorders>
              <w:top w:val="single" w:color="auto" w:sz="4" w:space="0"/>
              <w:left w:val="nil"/>
              <w:bottom w:val="single" w:color="auto" w:sz="4" w:space="0"/>
              <w:right w:val="single" w:color="auto" w:sz="4" w:space="0"/>
            </w:tcBorders>
            <w:vAlign w:val="center"/>
          </w:tcPr>
          <w:p w14:paraId="523DB4AF">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铝合金窗</w:t>
            </w:r>
          </w:p>
        </w:tc>
        <w:tc>
          <w:tcPr>
            <w:tcW w:w="7298" w:type="dxa"/>
            <w:tcBorders>
              <w:top w:val="single" w:color="auto" w:sz="4" w:space="0"/>
              <w:left w:val="nil"/>
              <w:bottom w:val="single" w:color="auto" w:sz="4" w:space="0"/>
              <w:right w:val="single" w:color="auto" w:sz="4" w:space="0"/>
            </w:tcBorders>
            <w:vAlign w:val="center"/>
          </w:tcPr>
          <w:p w14:paraId="5236AA5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1.框、扇材质:70系列推拉铝合金窗</w:t>
            </w:r>
          </w:p>
          <w:p w14:paraId="139ACD2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2.玻璃品种、厚度:6mm高透光Low-E+12mm空气+6(内外浅灰)</w:t>
            </w:r>
          </w:p>
        </w:tc>
      </w:tr>
      <w:tr w14:paraId="661F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17" w:type="dxa"/>
            <w:tcBorders>
              <w:top w:val="single" w:color="auto" w:sz="4" w:space="0"/>
              <w:left w:val="single" w:color="auto" w:sz="4" w:space="0"/>
              <w:bottom w:val="single" w:color="auto" w:sz="4" w:space="0"/>
              <w:right w:val="single" w:color="auto" w:sz="4" w:space="0"/>
            </w:tcBorders>
            <w:vAlign w:val="center"/>
          </w:tcPr>
          <w:p w14:paraId="2B16BAD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4</w:t>
            </w:r>
          </w:p>
        </w:tc>
        <w:tc>
          <w:tcPr>
            <w:tcW w:w="1523" w:type="dxa"/>
            <w:tcBorders>
              <w:top w:val="single" w:color="auto" w:sz="4" w:space="0"/>
              <w:left w:val="nil"/>
              <w:bottom w:val="single" w:color="auto" w:sz="4" w:space="0"/>
              <w:right w:val="single" w:color="auto" w:sz="4" w:space="0"/>
            </w:tcBorders>
            <w:vAlign w:val="center"/>
          </w:tcPr>
          <w:p w14:paraId="375EAA3A">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UTP Cat6网线</w:t>
            </w:r>
          </w:p>
        </w:tc>
        <w:tc>
          <w:tcPr>
            <w:tcW w:w="7298" w:type="dxa"/>
            <w:tcBorders>
              <w:top w:val="single" w:color="auto" w:sz="4" w:space="0"/>
              <w:left w:val="nil"/>
              <w:bottom w:val="single" w:color="auto" w:sz="4" w:space="0"/>
              <w:right w:val="single" w:color="auto" w:sz="4" w:space="0"/>
            </w:tcBorders>
            <w:vAlign w:val="center"/>
          </w:tcPr>
          <w:p w14:paraId="489608C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铜芯直径不低于0.57mm</w:t>
            </w:r>
          </w:p>
        </w:tc>
      </w:tr>
      <w:tr w14:paraId="1F05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17" w:type="dxa"/>
            <w:tcBorders>
              <w:top w:val="single" w:color="auto" w:sz="4" w:space="0"/>
              <w:left w:val="single" w:color="auto" w:sz="4" w:space="0"/>
              <w:bottom w:val="single" w:color="auto" w:sz="4" w:space="0"/>
              <w:right w:val="single" w:color="auto" w:sz="4" w:space="0"/>
            </w:tcBorders>
            <w:vAlign w:val="center"/>
          </w:tcPr>
          <w:p w14:paraId="59ECDFB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5</w:t>
            </w:r>
          </w:p>
        </w:tc>
        <w:tc>
          <w:tcPr>
            <w:tcW w:w="1523" w:type="dxa"/>
            <w:tcBorders>
              <w:top w:val="single" w:color="auto" w:sz="4" w:space="0"/>
              <w:left w:val="nil"/>
              <w:bottom w:val="single" w:color="auto" w:sz="4" w:space="0"/>
              <w:right w:val="single" w:color="auto" w:sz="4" w:space="0"/>
            </w:tcBorders>
            <w:vAlign w:val="center"/>
          </w:tcPr>
          <w:p w14:paraId="6D16C31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桌面网络插座</w:t>
            </w:r>
          </w:p>
        </w:tc>
        <w:tc>
          <w:tcPr>
            <w:tcW w:w="7298" w:type="dxa"/>
            <w:tcBorders>
              <w:top w:val="single" w:color="auto" w:sz="4" w:space="0"/>
              <w:left w:val="nil"/>
              <w:bottom w:val="single" w:color="auto" w:sz="4" w:space="0"/>
              <w:right w:val="single" w:color="auto" w:sz="4" w:space="0"/>
            </w:tcBorders>
            <w:vAlign w:val="center"/>
          </w:tcPr>
          <w:p w14:paraId="1BFA210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六类千兆网络模块插座，单口，86*86mm</w:t>
            </w:r>
          </w:p>
        </w:tc>
      </w:tr>
    </w:tbl>
    <w:p w14:paraId="21988A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cs="宋体" w:eastAsiaTheme="minorEastAsia"/>
          <w:color w:val="auto"/>
          <w:kern w:val="2"/>
          <w:sz w:val="22"/>
          <w:szCs w:val="22"/>
          <w:highlight w:val="none"/>
          <w:lang w:val="en-US" w:eastAsia="zh-CN"/>
        </w:rPr>
      </w:pPr>
      <w:r>
        <w:rPr>
          <w:rFonts w:hint="eastAsia" w:ascii="宋体" w:hAnsi="宋体" w:eastAsia="宋体" w:cs="宋体"/>
          <w:snapToGrid w:val="0"/>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rPr>
        <w:t>我司承诺完全响应服务要求及标准所有内容：1.</w:t>
      </w:r>
      <w:r>
        <w:rPr>
          <w:rFonts w:hint="eastAsia" w:asciiTheme="minorEastAsia" w:hAnsiTheme="minorEastAsia" w:eastAsiaTheme="minorEastAsia" w:cstheme="minorEastAsia"/>
          <w:sz w:val="21"/>
          <w:szCs w:val="21"/>
          <w:highlight w:val="none"/>
        </w:rPr>
        <w:t>时间要求</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合同签订后</w:t>
      </w:r>
      <w:r>
        <w:rPr>
          <w:rFonts w:hint="eastAsia" w:asciiTheme="minorEastAsia" w:hAnsiTheme="minorEastAsia" w:eastAsiaTheme="minorEastAsia" w:cstheme="minorEastAsia"/>
          <w:sz w:val="21"/>
          <w:szCs w:val="21"/>
          <w:highlight w:val="none"/>
          <w:lang w:eastAsia="zh-CN"/>
        </w:rPr>
        <w:t>，接到甲方书面开工通知后</w:t>
      </w:r>
      <w:r>
        <w:rPr>
          <w:rFonts w:hint="eastAsia" w:asciiTheme="minorEastAsia" w:hAnsiTheme="minorEastAsia" w:eastAsiaTheme="minorEastAsia" w:cstheme="minorEastAsia"/>
          <w:color w:val="000000"/>
          <w:sz w:val="21"/>
          <w:szCs w:val="21"/>
          <w:highlight w:val="none"/>
          <w:u w:val="single"/>
          <w:lang w:val="en-US" w:eastAsia="zh-CN"/>
        </w:rPr>
        <w:t xml:space="preserve"> 45 </w:t>
      </w:r>
      <w:r>
        <w:rPr>
          <w:rFonts w:hint="eastAsia" w:asciiTheme="minorEastAsia" w:hAnsiTheme="minorEastAsia" w:eastAsiaTheme="minorEastAsia" w:cstheme="minorEastAsia"/>
          <w:sz w:val="21"/>
          <w:szCs w:val="21"/>
          <w:highlight w:val="none"/>
        </w:rPr>
        <w:t>个日历天内完工</w:t>
      </w:r>
      <w:r>
        <w:rPr>
          <w:rFonts w:hint="eastAsia" w:asciiTheme="minorEastAsia" w:hAnsiTheme="minorEastAsia" w:eastAsiaTheme="minorEastAsia" w:cstheme="minorEastAsia"/>
          <w:sz w:val="21"/>
          <w:szCs w:val="21"/>
          <w:highlight w:val="none"/>
          <w:lang w:eastAsia="zh-CN"/>
        </w:rPr>
        <w:t>。</w:t>
      </w:r>
    </w:p>
    <w:p w14:paraId="4191704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3.我司承诺完全响应服务要求及标准所有内容：2.售后服务：</w:t>
      </w:r>
      <w:r>
        <w:rPr>
          <w:rFonts w:hint="eastAsia" w:asciiTheme="minorEastAsia" w:hAnsiTheme="minorEastAsia" w:eastAsiaTheme="minorEastAsia" w:cstheme="minorEastAsia"/>
          <w:sz w:val="21"/>
          <w:szCs w:val="21"/>
          <w:highlight w:val="none"/>
        </w:rPr>
        <w:t>质保期内，</w:t>
      </w:r>
      <w:r>
        <w:rPr>
          <w:rFonts w:hint="eastAsia" w:asciiTheme="minorEastAsia" w:hAnsiTheme="minorEastAsia" w:eastAsiaTheme="minorEastAsia" w:cstheme="minorEastAsia"/>
          <w:sz w:val="21"/>
          <w:szCs w:val="21"/>
          <w:highlight w:val="none"/>
          <w:lang w:eastAsia="zh-CN"/>
        </w:rPr>
        <w:t>响应人</w:t>
      </w:r>
      <w:r>
        <w:rPr>
          <w:rFonts w:hint="eastAsia" w:asciiTheme="minorEastAsia" w:hAnsiTheme="minorEastAsia" w:eastAsiaTheme="minorEastAsia" w:cstheme="minorEastAsia"/>
          <w:sz w:val="21"/>
          <w:szCs w:val="21"/>
          <w:highlight w:val="none"/>
        </w:rPr>
        <w:t>提供7*24小时服务保障，电话报修后4小时上门服务，12小时内排除故障。</w:t>
      </w:r>
    </w:p>
    <w:p w14:paraId="1ACB2A21">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cs="宋体" w:eastAsiaTheme="minorEastAsia"/>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4.我司承诺完全响应服务要求及标准所有内容：3.质保要求：</w:t>
      </w:r>
      <w:r>
        <w:rPr>
          <w:rFonts w:hint="eastAsia" w:asciiTheme="minorEastAsia" w:hAnsiTheme="minorEastAsia" w:eastAsiaTheme="minorEastAsia" w:cstheme="minorEastAsia"/>
          <w:sz w:val="21"/>
          <w:szCs w:val="21"/>
          <w:highlight w:val="none"/>
        </w:rPr>
        <w:t>质保期不少于</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lang w:eastAsia="zh-CN"/>
        </w:rPr>
        <w:t>。</w:t>
      </w:r>
    </w:p>
    <w:p w14:paraId="38F3C94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5.我司承诺完全响应服务要求及标准所有内容：4.供货要求：</w:t>
      </w:r>
      <w:r>
        <w:rPr>
          <w:rFonts w:hint="eastAsia" w:asciiTheme="minorEastAsia" w:hAnsiTheme="minorEastAsia" w:eastAsiaTheme="minorEastAsia" w:cstheme="minorEastAsia"/>
          <w:sz w:val="21"/>
          <w:szCs w:val="21"/>
          <w:highlight w:val="none"/>
        </w:rPr>
        <w:t>设备进场后由甲方、乙方、监理方确认后方可使用。</w:t>
      </w:r>
    </w:p>
    <w:p w14:paraId="7F91FFE2">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6.我司承诺完全响应服务要求及标准所有内容：5.</w:t>
      </w:r>
      <w:r>
        <w:rPr>
          <w:rFonts w:hint="eastAsia" w:asciiTheme="minorEastAsia" w:hAnsiTheme="minorEastAsia" w:eastAsiaTheme="minorEastAsia" w:cstheme="minorEastAsia"/>
          <w:sz w:val="21"/>
          <w:szCs w:val="21"/>
          <w:highlight w:val="none"/>
          <w:lang w:val="en-US" w:eastAsia="zh-CN"/>
        </w:rPr>
        <w:t>材料进场要求：</w:t>
      </w:r>
      <w:r>
        <w:rPr>
          <w:rFonts w:hint="eastAsia" w:asciiTheme="minorEastAsia" w:hAnsiTheme="minorEastAsia" w:eastAsiaTheme="minorEastAsia" w:cstheme="minorEastAsia"/>
          <w:sz w:val="21"/>
          <w:szCs w:val="21"/>
          <w:highlight w:val="none"/>
        </w:rPr>
        <w:t>材料进场由甲方、乙方、监理方确认后方可使用。</w:t>
      </w:r>
    </w:p>
    <w:p w14:paraId="239BC684">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7.我司承诺完全响应服务要求及标准所有内容：6.</w:t>
      </w:r>
      <w:r>
        <w:rPr>
          <w:rFonts w:hint="eastAsia" w:asciiTheme="minorEastAsia" w:hAnsiTheme="minorEastAsia" w:eastAsiaTheme="minorEastAsia" w:cstheme="minorEastAsia"/>
          <w:sz w:val="21"/>
          <w:szCs w:val="21"/>
          <w:highlight w:val="none"/>
          <w:lang w:val="en-US" w:eastAsia="zh-CN"/>
        </w:rPr>
        <w:t>驻场要求：项目经理、安全员施工期间需要每天现场打卡报到</w:t>
      </w:r>
    </w:p>
    <w:p w14:paraId="124E26E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8.我司承诺完全响应服务要求及标准所有内容：7.验收要求：1.到货进场时，须由中标供应商提供产品厂家合格证明或检测报告，经双方验货合格后方可使用，双方在到货清单签字确认；</w:t>
      </w:r>
    </w:p>
    <w:p w14:paraId="2295AA69">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2.货物进场后，须严格按照招标文件及投标文件响应条件，组织施工；</w:t>
      </w:r>
    </w:p>
    <w:p w14:paraId="547C20AE">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3.竣工验收，中标供应商须提供工程竣工验收清单、工程施工过程日志等重要验收所需资料；</w:t>
      </w:r>
    </w:p>
    <w:p w14:paraId="18BC105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4.项目初验合格后，中标供应商在10日内将验收完整资料递交采购人，竣工验收按照学校验收制度执行。</w:t>
      </w:r>
    </w:p>
    <w:p w14:paraId="29E516F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2"/>
          <w:szCs w:val="22"/>
          <w:highlight w:val="none"/>
        </w:rPr>
        <w:t>承诺在本次招标采购活动中，</w:t>
      </w:r>
      <w:r>
        <w:rPr>
          <w:rFonts w:hint="eastAsia" w:ascii="宋体" w:hAnsi="宋体" w:eastAsia="宋体" w:cs="宋体"/>
          <w:color w:val="auto"/>
          <w:sz w:val="22"/>
          <w:szCs w:val="22"/>
          <w:highlight w:val="none"/>
          <w:lang w:val="en-US" w:eastAsia="zh-CN"/>
        </w:rPr>
        <w:t>以上承诺内容若达不到要求，造成</w:t>
      </w:r>
      <w:r>
        <w:rPr>
          <w:rFonts w:hint="eastAsia" w:ascii="宋体" w:hAnsi="宋体" w:eastAsia="宋体" w:cs="宋体"/>
          <w:color w:val="auto"/>
          <w:sz w:val="22"/>
          <w:szCs w:val="22"/>
          <w:highlight w:val="none"/>
        </w:rPr>
        <w:t>损失、不良后果及法律责任，一律由</w:t>
      </w:r>
      <w:r>
        <w:rPr>
          <w:rFonts w:hint="eastAsia" w:ascii="宋体" w:hAnsi="宋体" w:eastAsia="宋体" w:cs="宋体"/>
          <w:color w:val="auto"/>
          <w:spacing w:val="-1"/>
          <w:sz w:val="22"/>
          <w:szCs w:val="22"/>
          <w:highlight w:val="none"/>
        </w:rPr>
        <w:t>我公司承担</w:t>
      </w:r>
      <w:r>
        <w:rPr>
          <w:rFonts w:hint="eastAsia" w:ascii="宋体" w:hAnsi="宋体" w:eastAsia="宋体" w:cs="宋体"/>
          <w:color w:val="auto"/>
          <w:spacing w:val="-1"/>
          <w:sz w:val="22"/>
          <w:szCs w:val="22"/>
          <w:highlight w:val="none"/>
          <w:lang w:eastAsia="zh-CN"/>
        </w:rPr>
        <w:t>！</w:t>
      </w:r>
    </w:p>
    <w:p w14:paraId="66F751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A2457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C05DA7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083612C">
      <w:pPr>
        <w:keepNext w:val="0"/>
        <w:keepLines w:val="0"/>
        <w:pageBreakBefore w:val="0"/>
        <w:widowControl/>
        <w:kinsoku/>
        <w:wordWrap/>
        <w:overflowPunct/>
        <w:topLinePunct w:val="0"/>
        <w:autoSpaceDE/>
        <w:autoSpaceDN/>
        <w:bidi w:val="0"/>
        <w:adjustRightInd/>
        <w:snapToGrid/>
        <w:ind w:left="0" w:leftChars="0" w:right="0" w:rightChars="0" w:firstLine="0" w:firstLineChars="0"/>
        <w:jc w:val="left"/>
        <w:textAlignment w:val="auto"/>
        <w:rPr>
          <w:rFonts w:hint="eastAsia" w:ascii="宋体" w:hAnsi="宋体" w:eastAsia="宋体" w:cs="宋体"/>
          <w:b/>
          <w:bCs/>
          <w:snapToGrid w:val="0"/>
          <w:color w:val="auto"/>
          <w:spacing w:val="-2"/>
          <w:kern w:val="0"/>
          <w:sz w:val="21"/>
          <w:szCs w:val="21"/>
          <w:highlight w:val="none"/>
          <w:lang w:val="en-US" w:eastAsia="zh-CN" w:bidi="ar-SA"/>
        </w:rPr>
      </w:pPr>
      <w:r>
        <w:rPr>
          <w:rFonts w:hint="eastAsia" w:cs="宋体"/>
          <w:b w:val="0"/>
          <w:bCs w:val="0"/>
          <w:color w:val="auto"/>
          <w:kern w:val="0"/>
          <w:sz w:val="28"/>
          <w:szCs w:val="28"/>
          <w:highlight w:val="none"/>
          <w:lang w:val="en-US" w:eastAsia="zh-CN"/>
        </w:rPr>
        <w:br w:type="page"/>
      </w:r>
    </w:p>
    <w:p w14:paraId="753C8A41">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snapToGrid w:val="0"/>
          <w:color w:val="auto"/>
          <w:spacing w:val="-2"/>
          <w:kern w:val="0"/>
          <w:sz w:val="21"/>
          <w:szCs w:val="21"/>
          <w:highlight w:val="none"/>
          <w:lang w:val="en-US" w:eastAsia="zh-CN" w:bidi="ar-SA"/>
        </w:rPr>
        <w:t>18</w:t>
      </w:r>
      <w:r>
        <w:rPr>
          <w:rFonts w:hint="eastAsia" w:ascii="宋体" w:hAnsi="宋体" w:eastAsia="宋体" w:cs="宋体"/>
          <w:b/>
          <w:bCs/>
          <w:snapToGrid w:val="0"/>
          <w:color w:val="auto"/>
          <w:spacing w:val="-2"/>
          <w:kern w:val="0"/>
          <w:sz w:val="21"/>
          <w:szCs w:val="21"/>
          <w:highlight w:val="none"/>
          <w:lang w:val="en-US" w:eastAsia="en-US" w:bidi="ar-SA"/>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4E849CA0">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AD2FD67-31E7-4E36-9167-D0E43FC24C7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387A9BA8-9B15-455F-90FF-64769376AAC5}"/>
  </w:font>
  <w:font w:name="仿宋_GB2312">
    <w:altName w:val="仿宋"/>
    <w:panose1 w:val="02010609030101010101"/>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8CB9">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9C76">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3D67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B43D67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AF2EB">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C9EEB">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CC9EEB">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E7C0">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B4A51">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5B4A51">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CCFF">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A83FD">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4CA83FD">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785EB">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D36B">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40DD36B">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18B7">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7D8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6867D8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01E7C">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4AE69">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A24AE69">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88AE">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910C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8C910C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CA16">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A12B">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81A12B">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ABCD">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17188">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317188">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39A8">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37031">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437031">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D981">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3DF54">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6E3DF54">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3D6F">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A5D50">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32A5D50">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A58B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F9610">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FF9610">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966E">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5FD91">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D5FD91">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DD1EE2"/>
    <w:multiLevelType w:val="multilevel"/>
    <w:tmpl w:val="4BDD1EE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5EE2FD7"/>
    <w:rsid w:val="0721282E"/>
    <w:rsid w:val="0762462C"/>
    <w:rsid w:val="07923D44"/>
    <w:rsid w:val="079C4A98"/>
    <w:rsid w:val="07D8445E"/>
    <w:rsid w:val="07ED2AA6"/>
    <w:rsid w:val="088E70CE"/>
    <w:rsid w:val="08DC4C5E"/>
    <w:rsid w:val="0A5F3850"/>
    <w:rsid w:val="0B352404"/>
    <w:rsid w:val="0BD55E00"/>
    <w:rsid w:val="0D814CB6"/>
    <w:rsid w:val="0EC56F6C"/>
    <w:rsid w:val="0FD82419"/>
    <w:rsid w:val="109530FC"/>
    <w:rsid w:val="10CB1539"/>
    <w:rsid w:val="10F018E4"/>
    <w:rsid w:val="12816876"/>
    <w:rsid w:val="129640D0"/>
    <w:rsid w:val="12B746AE"/>
    <w:rsid w:val="133032AB"/>
    <w:rsid w:val="14AD65CB"/>
    <w:rsid w:val="15537E34"/>
    <w:rsid w:val="15CA1C0B"/>
    <w:rsid w:val="15DA6377"/>
    <w:rsid w:val="15FF7ED9"/>
    <w:rsid w:val="167E55A7"/>
    <w:rsid w:val="173164DC"/>
    <w:rsid w:val="175716B3"/>
    <w:rsid w:val="185F4F64"/>
    <w:rsid w:val="1D205A1C"/>
    <w:rsid w:val="1D534801"/>
    <w:rsid w:val="1D60233E"/>
    <w:rsid w:val="1DD65CC8"/>
    <w:rsid w:val="1DF03420"/>
    <w:rsid w:val="1DF148B0"/>
    <w:rsid w:val="20766E26"/>
    <w:rsid w:val="20C82F36"/>
    <w:rsid w:val="23A40E61"/>
    <w:rsid w:val="23E333C9"/>
    <w:rsid w:val="252437BD"/>
    <w:rsid w:val="257C58DC"/>
    <w:rsid w:val="263046AA"/>
    <w:rsid w:val="27250A4C"/>
    <w:rsid w:val="28654E20"/>
    <w:rsid w:val="286640ED"/>
    <w:rsid w:val="289F3FD5"/>
    <w:rsid w:val="29695641"/>
    <w:rsid w:val="299E493C"/>
    <w:rsid w:val="2B371B8A"/>
    <w:rsid w:val="2B4E717C"/>
    <w:rsid w:val="2DA72F57"/>
    <w:rsid w:val="2F5A73F6"/>
    <w:rsid w:val="2FE24E4F"/>
    <w:rsid w:val="324A688B"/>
    <w:rsid w:val="33873173"/>
    <w:rsid w:val="35BF15AA"/>
    <w:rsid w:val="369E2196"/>
    <w:rsid w:val="373C3AAF"/>
    <w:rsid w:val="377F2E73"/>
    <w:rsid w:val="37F20279"/>
    <w:rsid w:val="3872400D"/>
    <w:rsid w:val="38A72981"/>
    <w:rsid w:val="393873DF"/>
    <w:rsid w:val="3AC65A4C"/>
    <w:rsid w:val="3C253932"/>
    <w:rsid w:val="3C7A695F"/>
    <w:rsid w:val="3F0957E5"/>
    <w:rsid w:val="3FB543FD"/>
    <w:rsid w:val="40055B41"/>
    <w:rsid w:val="404B0E09"/>
    <w:rsid w:val="41FE0C5F"/>
    <w:rsid w:val="430E1F1C"/>
    <w:rsid w:val="435D4309"/>
    <w:rsid w:val="468214CD"/>
    <w:rsid w:val="46DF31DC"/>
    <w:rsid w:val="479A1A77"/>
    <w:rsid w:val="48350AD0"/>
    <w:rsid w:val="48826B0E"/>
    <w:rsid w:val="48B57DC7"/>
    <w:rsid w:val="4A3F0113"/>
    <w:rsid w:val="4C060CB5"/>
    <w:rsid w:val="4C4C3B78"/>
    <w:rsid w:val="4CB86415"/>
    <w:rsid w:val="4D7F6F33"/>
    <w:rsid w:val="4DF3347D"/>
    <w:rsid w:val="4F4C5836"/>
    <w:rsid w:val="504B57F2"/>
    <w:rsid w:val="508F1B83"/>
    <w:rsid w:val="517E281C"/>
    <w:rsid w:val="52E5410B"/>
    <w:rsid w:val="53E83C5B"/>
    <w:rsid w:val="5526148F"/>
    <w:rsid w:val="56B60D75"/>
    <w:rsid w:val="56BD4A43"/>
    <w:rsid w:val="574A45CE"/>
    <w:rsid w:val="57792093"/>
    <w:rsid w:val="59D96642"/>
    <w:rsid w:val="59DE3233"/>
    <w:rsid w:val="59E4601B"/>
    <w:rsid w:val="59FB3DE5"/>
    <w:rsid w:val="5ADD65FA"/>
    <w:rsid w:val="5C3E0C4D"/>
    <w:rsid w:val="5D95186C"/>
    <w:rsid w:val="5DEFF000"/>
    <w:rsid w:val="5F171914"/>
    <w:rsid w:val="5F6D7533"/>
    <w:rsid w:val="5FD05753"/>
    <w:rsid w:val="60BC3934"/>
    <w:rsid w:val="60F47802"/>
    <w:rsid w:val="6221580D"/>
    <w:rsid w:val="63B374DF"/>
    <w:rsid w:val="643A6CF7"/>
    <w:rsid w:val="64551A51"/>
    <w:rsid w:val="645F0E3B"/>
    <w:rsid w:val="65124F54"/>
    <w:rsid w:val="65260DC0"/>
    <w:rsid w:val="6635549F"/>
    <w:rsid w:val="668D08C1"/>
    <w:rsid w:val="66A24F4A"/>
    <w:rsid w:val="69092D20"/>
    <w:rsid w:val="69D10E55"/>
    <w:rsid w:val="69EB5626"/>
    <w:rsid w:val="6A7A5631"/>
    <w:rsid w:val="6AEF704E"/>
    <w:rsid w:val="6B3929BF"/>
    <w:rsid w:val="6B453112"/>
    <w:rsid w:val="6BB6171A"/>
    <w:rsid w:val="6C4D60B4"/>
    <w:rsid w:val="6CA32D5A"/>
    <w:rsid w:val="6DE74694"/>
    <w:rsid w:val="6E105C5A"/>
    <w:rsid w:val="6ECA1F1A"/>
    <w:rsid w:val="70E25B8F"/>
    <w:rsid w:val="71665B90"/>
    <w:rsid w:val="719B22AD"/>
    <w:rsid w:val="71E91BC1"/>
    <w:rsid w:val="728605DF"/>
    <w:rsid w:val="72F74E03"/>
    <w:rsid w:val="73482CDB"/>
    <w:rsid w:val="74D777D0"/>
    <w:rsid w:val="75BFCDE0"/>
    <w:rsid w:val="75D501C9"/>
    <w:rsid w:val="779C3A7F"/>
    <w:rsid w:val="77B96B23"/>
    <w:rsid w:val="782A7918"/>
    <w:rsid w:val="78434AA4"/>
    <w:rsid w:val="78CD3F50"/>
    <w:rsid w:val="7950713C"/>
    <w:rsid w:val="7983210F"/>
    <w:rsid w:val="7D1CAEB3"/>
    <w:rsid w:val="7D2E6144"/>
    <w:rsid w:val="7EE7639C"/>
    <w:rsid w:val="7F11360D"/>
    <w:rsid w:val="7F2EEA42"/>
    <w:rsid w:val="7FABB0A4"/>
    <w:rsid w:val="7FDF1510"/>
    <w:rsid w:val="9BFD619B"/>
    <w:rsid w:val="DEBDC2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2">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Table Paragraph"/>
    <w:basedOn w:val="1"/>
    <w:qFormat/>
    <w:uiPriority w:val="1"/>
    <w:pPr>
      <w:spacing w:line="360" w:lineRule="auto"/>
      <w:ind w:firstLine="640" w:firstLineChars="200"/>
    </w:pPr>
    <w:rPr>
      <w:rFonts w:ascii="宋体" w:hAnsi="宋体" w:cs="宋体"/>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13308</Words>
  <Characters>14208</Characters>
  <TotalTime>237</TotalTime>
  <ScaleCrop>false</ScaleCrop>
  <LinksUpToDate>false</LinksUpToDate>
  <CharactersWithSpaces>14561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2025-04-03T16:14:00Z</dcterms:created>
  <dc:creator>Yin Hao</dc:creator>
  <cp:lastModifiedBy>微信用户</cp:lastModifiedBy>
  <dcterms:modified xsi:type="dcterms:W3CDTF">2026-07-24T07:21:42Z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2052-12.1.0.26895</vt:lpwstr>
  </property>
  <property fmtid="{D5CDD505-2E9C-101B-9397-08002B2CF9AE}" pid="6" name="ICV">
    <vt:lpwstr>F0060F04A78F48698A3B1C7DC6D53E84_13</vt:lpwstr>
  </property>
</Properties>
</file>